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F7C8" w14:textId="434D7FA2" w:rsidR="005F2756" w:rsidRDefault="009B3F6A" w:rsidP="005F2756">
      <w:pPr>
        <w:pStyle w:val="HeadingSection"/>
        <w:suppressLineNumbers/>
        <w:spacing w:after="0"/>
      </w:pPr>
      <w:bookmarkStart w:id="0" w:name="_Toc301773537"/>
      <w:bookmarkStart w:id="1" w:name="_Toc301773708"/>
      <w:bookmarkStart w:id="2" w:name="_Toc301773938"/>
      <w:bookmarkStart w:id="3" w:name="_Toc301774070"/>
      <w:bookmarkStart w:id="4" w:name="_Hlk65077192"/>
      <w:bookmarkStart w:id="5" w:name="_Hlk65077087"/>
      <w:r>
        <w:t>NE</w:t>
      </w:r>
      <w:r w:rsidR="005F2756">
        <w:t>WMA Laws and Regulations (L&amp;R) Committee</w:t>
      </w:r>
    </w:p>
    <w:p w14:paraId="0DDF68B5" w14:textId="77777777" w:rsidR="005F2756" w:rsidRDefault="005F2756" w:rsidP="005F2756">
      <w:pPr>
        <w:pStyle w:val="HeadingSection"/>
        <w:suppressLineNumbers/>
        <w:spacing w:after="0"/>
      </w:pPr>
      <w:r>
        <w:t>2021 Annual Meeting Agenda</w:t>
      </w:r>
    </w:p>
    <w:bookmarkEnd w:id="0"/>
    <w:bookmarkEnd w:id="1"/>
    <w:bookmarkEnd w:id="2"/>
    <w:bookmarkEnd w:id="3"/>
    <w:p w14:paraId="4EC0B24F" w14:textId="77777777" w:rsidR="005F2756" w:rsidRDefault="005F2756" w:rsidP="005F2756">
      <w:pPr>
        <w:suppressLineNumbers/>
        <w:spacing w:after="0"/>
        <w:jc w:val="center"/>
      </w:pPr>
    </w:p>
    <w:p w14:paraId="30B78D43" w14:textId="77777777" w:rsidR="001F2721" w:rsidRPr="00136009" w:rsidRDefault="001F2721" w:rsidP="001F2721">
      <w:pPr>
        <w:suppressLineNumbers/>
        <w:spacing w:after="0"/>
        <w:jc w:val="center"/>
      </w:pPr>
      <w:r w:rsidRPr="00136009">
        <w:t xml:space="preserve">Mr. </w:t>
      </w:r>
      <w:r>
        <w:t>Louis Sakin</w:t>
      </w:r>
      <w:r w:rsidRPr="00136009">
        <w:t xml:space="preserve">, </w:t>
      </w:r>
      <w:r>
        <w:t xml:space="preserve">Committee </w:t>
      </w:r>
      <w:r w:rsidRPr="00136009">
        <w:t>Chair</w:t>
      </w:r>
    </w:p>
    <w:p w14:paraId="0CB3146A" w14:textId="77777777" w:rsidR="001F2721" w:rsidRPr="00136009" w:rsidRDefault="001F2721" w:rsidP="001F2721">
      <w:pPr>
        <w:suppressLineNumbers/>
        <w:jc w:val="center"/>
      </w:pPr>
      <w:r>
        <w:t>Towns of Hopkinton/Northbridge, Massachusetts</w:t>
      </w:r>
    </w:p>
    <w:p w14:paraId="35300296" w14:textId="77777777" w:rsidR="00604A9C" w:rsidRDefault="00604A9C" w:rsidP="000803DF">
      <w:pPr>
        <w:suppressLineNumbers/>
        <w:rPr>
          <w:b/>
          <w:sz w:val="24"/>
          <w:szCs w:val="24"/>
        </w:rPr>
      </w:pPr>
      <w:r>
        <w:rPr>
          <w:b/>
          <w:sz w:val="24"/>
          <w:szCs w:val="24"/>
        </w:rPr>
        <w:t>INTRODUCTION</w:t>
      </w:r>
    </w:p>
    <w:p w14:paraId="526139E6" w14:textId="2B98BF98" w:rsidR="00E62C20" w:rsidRDefault="00D667CE" w:rsidP="00D667CE">
      <w:pPr>
        <w:suppressLineNumbers/>
      </w:pPr>
      <w:r w:rsidRPr="00D81E1A">
        <w:t>The L</w:t>
      </w:r>
      <w:r w:rsidR="00FD69A2">
        <w:t>aws and Regulations</w:t>
      </w:r>
      <w:r w:rsidRPr="00D81E1A">
        <w:t xml:space="preserve"> Committee (hereinafter referred to as the “Committee”) submits this Committee Interim Report for consideration by National Conference on Weights and Measures (NCWM).  </w:t>
      </w:r>
      <w:r w:rsidR="00E62C20" w:rsidRPr="007B7572">
        <w:rPr>
          <w:szCs w:val="20"/>
        </w:rPr>
        <w:t xml:space="preserve">This report contains the items discussed and actions proposed by the Committee during its Interim Meeting in </w:t>
      </w:r>
      <w:r w:rsidR="00E62C20">
        <w:rPr>
          <w:szCs w:val="20"/>
        </w:rPr>
        <w:t>St. Pete Beach</w:t>
      </w:r>
      <w:r w:rsidR="00E62C20" w:rsidRPr="007B7572">
        <w:rPr>
          <w:szCs w:val="20"/>
        </w:rPr>
        <w:t xml:space="preserve">, </w:t>
      </w:r>
      <w:r w:rsidR="00E62C20">
        <w:rPr>
          <w:szCs w:val="20"/>
        </w:rPr>
        <w:t>FL</w:t>
      </w:r>
      <w:r w:rsidR="00E62C20" w:rsidRPr="007B7572">
        <w:rPr>
          <w:szCs w:val="20"/>
        </w:rPr>
        <w:t xml:space="preserve">, January </w:t>
      </w:r>
      <w:r w:rsidR="00E62C20">
        <w:rPr>
          <w:szCs w:val="20"/>
        </w:rPr>
        <w:t>13</w:t>
      </w:r>
      <w:r w:rsidR="00E62C20" w:rsidRPr="007B7572">
        <w:rPr>
          <w:szCs w:val="20"/>
        </w:rPr>
        <w:t xml:space="preserve"> </w:t>
      </w:r>
      <w:r w:rsidR="00E62C20" w:rsidRPr="007B7572">
        <w:rPr>
          <w:szCs w:val="20"/>
        </w:rPr>
        <w:noBreakHyphen/>
        <w:t xml:space="preserve"> </w:t>
      </w:r>
      <w:r w:rsidR="00E62C20">
        <w:rPr>
          <w:szCs w:val="20"/>
        </w:rPr>
        <w:t>15</w:t>
      </w:r>
      <w:r w:rsidR="00E62C20" w:rsidRPr="007B7572">
        <w:rPr>
          <w:szCs w:val="20"/>
        </w:rPr>
        <w:t>, 202</w:t>
      </w:r>
      <w:r w:rsidR="00E62C20">
        <w:rPr>
          <w:szCs w:val="20"/>
        </w:rPr>
        <w:t>1</w:t>
      </w:r>
      <w:r w:rsidR="00E62C20" w:rsidRPr="007B7572">
        <w:rPr>
          <w:szCs w:val="20"/>
        </w:rPr>
        <w:t xml:space="preserve">.  </w:t>
      </w:r>
      <w:r w:rsidR="00E62C20" w:rsidRPr="00145377">
        <w:t xml:space="preserve">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first three letters of an item’s reference key are assigned from the Subject Series List.  The first three letters of an item’s reference key are assigned from the Subject Series List.  The status of each item contained in the report is designated as one of the following: </w:t>
      </w:r>
      <w:r w:rsidR="00E62C20" w:rsidRPr="00145377">
        <w:rPr>
          <w:b/>
        </w:rPr>
        <w:t>(V)</w:t>
      </w:r>
      <w:r w:rsidR="00E62C20" w:rsidRPr="00145377">
        <w:t xml:space="preserve"> </w:t>
      </w:r>
      <w:r w:rsidR="00E62C20" w:rsidRPr="00145377">
        <w:rPr>
          <w:b/>
        </w:rPr>
        <w:t>Voting Item:</w:t>
      </w:r>
      <w:r w:rsidR="00E62C20" w:rsidRPr="00145377">
        <w:t xml:space="preserve"> the committee is making recommendations requiring a vote by the active members of NCWM; </w:t>
      </w:r>
      <w:r w:rsidR="00E62C20" w:rsidRPr="00145377">
        <w:rPr>
          <w:b/>
        </w:rPr>
        <w:t>(I)</w:t>
      </w:r>
      <w:r w:rsidR="00E62C20" w:rsidRPr="00145377">
        <w:t xml:space="preserve"> </w:t>
      </w:r>
      <w:r w:rsidR="00E62C20" w:rsidRPr="00145377">
        <w:rPr>
          <w:b/>
        </w:rPr>
        <w:t>Informational Item:</w:t>
      </w:r>
      <w:r w:rsidR="00E62C20" w:rsidRPr="00145377">
        <w:t xml:space="preserve"> the item is under consideration by the Committee but not proposed for Voting; </w:t>
      </w:r>
      <w:r w:rsidR="00E62C20" w:rsidRPr="00145377">
        <w:rPr>
          <w:b/>
        </w:rPr>
        <w:t>(A) Assigned Item:</w:t>
      </w:r>
      <w:r w:rsidR="00E62C20" w:rsidRPr="00145377">
        <w:t xml:space="preserve"> the Committee has assigned development of the item to a recognized subcommittee or task group within NCWM; </w:t>
      </w:r>
      <w:r w:rsidR="00E62C20" w:rsidRPr="00145377">
        <w:rPr>
          <w:b/>
        </w:rPr>
        <w:t>(D) Developing Item:</w:t>
      </w:r>
      <w:r w:rsidR="00E62C20" w:rsidRPr="00145377">
        <w:t xml:space="preserve"> the Committee determined the item has merit; however, the item was returned to the submitter or other designated party for further development before any action can be taken at the national level; </w:t>
      </w:r>
      <w:r w:rsidR="00E62C20" w:rsidRPr="00145377">
        <w:rPr>
          <w:b/>
        </w:rPr>
        <w:t>(W)</w:t>
      </w:r>
      <w:r w:rsidR="00E62C20" w:rsidRPr="00145377">
        <w:t xml:space="preserve"> </w:t>
      </w:r>
      <w:r w:rsidR="00E62C20" w:rsidRPr="00145377">
        <w:rPr>
          <w:b/>
        </w:rPr>
        <w:t>Withdrawn Item:</w:t>
      </w:r>
      <w:r w:rsidR="00E62C20" w:rsidRPr="00145377">
        <w:t xml:space="preserve"> the item has been removed from consideration by the Committee.</w:t>
      </w:r>
    </w:p>
    <w:p w14:paraId="6EFF39FD" w14:textId="2C8A5810" w:rsidR="00D667CE" w:rsidRPr="00D81E1A" w:rsidRDefault="00D667CE" w:rsidP="00D667CE">
      <w:pPr>
        <w:suppressLineNumbers/>
      </w:pPr>
      <w:r w:rsidRPr="00D81E1A">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506094EC" w14:textId="77777777" w:rsidR="00D667CE" w:rsidRPr="00D81E1A" w:rsidRDefault="00D667CE" w:rsidP="00D667CE">
      <w:pPr>
        <w:suppressLineNumbers/>
      </w:pPr>
      <w:r w:rsidRPr="00D81E1A">
        <w:t xml:space="preserve">Committees may change the status designation of agenda items (Developing, Informational, </w:t>
      </w:r>
      <w:r>
        <w:t>Assigned,</w:t>
      </w:r>
      <w:r w:rsidRPr="00D81E1A">
        <w:t xml:space="preserve"> Voting and Withdrawn) up until the report is adopted, except that items which are marked Developing, Informational</w:t>
      </w:r>
      <w:r>
        <w:t xml:space="preserve">, Assigned </w:t>
      </w:r>
      <w:r w:rsidRPr="00D81E1A">
        <w:t xml:space="preserve">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243DFEDF" w14:textId="7990872D" w:rsidR="00D667CE" w:rsidRPr="00D81E1A" w:rsidRDefault="00D667CE" w:rsidP="00D667CE">
      <w:pPr>
        <w:suppressLineNumbers/>
      </w:pPr>
      <w:r>
        <w:t xml:space="preserve">An “Item </w:t>
      </w:r>
      <w:r w:rsidR="00486594">
        <w:t>U</w:t>
      </w:r>
      <w:r>
        <w:t xml:space="preserve">nder Consideration” is a statement of proposal and not necessarily a recommendation of the Committee.  Suggested revisions are shown in </w:t>
      </w:r>
      <w:r w:rsidRPr="005D4239">
        <w:rPr>
          <w:b/>
        </w:rPr>
        <w:t>bold face print</w:t>
      </w:r>
      <w:r>
        <w:t xml:space="preserve"> by </w:t>
      </w:r>
      <w:r w:rsidRPr="005D4239">
        <w:rPr>
          <w:b/>
          <w:strike/>
        </w:rPr>
        <w:t>striking out</w:t>
      </w:r>
      <w:r>
        <w:t xml:space="preserve"> information to be deleted and </w:t>
      </w:r>
      <w:r w:rsidRPr="005D4239">
        <w:rPr>
          <w:b/>
          <w:u w:val="single"/>
        </w:rPr>
        <w:t>underlining</w:t>
      </w:r>
      <w:r>
        <w:t xml:space="preserve"> information to be added.  Requirements that are proposed to be nonretroactive are printed in </w:t>
      </w:r>
      <w:r w:rsidRPr="005D4239">
        <w:rPr>
          <w:b/>
          <w:i/>
        </w:rPr>
        <w:t>bold faced italics</w:t>
      </w:r>
      <w:r>
        <w:t xml:space="preserve">.  </w:t>
      </w:r>
      <w:r w:rsidRPr="00D81E1A">
        <w:t xml:space="preserve">Please refer to </w:t>
      </w:r>
      <w:hyperlink r:id="rId12" w:history="1">
        <w:r w:rsidR="00A766AF" w:rsidRPr="00A766AF">
          <w:rPr>
            <w:rStyle w:val="Hyperlink"/>
            <w:noProof w:val="0"/>
            <w:color w:val="0000FF"/>
          </w:rPr>
          <w:t>www.ncwm.com/publication-16</w:t>
        </w:r>
      </w:hyperlink>
      <w:r w:rsidR="00A766AF">
        <w:t xml:space="preserve"> </w:t>
      </w:r>
      <w:r w:rsidRPr="004B27A6">
        <w:rPr>
          <w:color w:val="000000"/>
        </w:rPr>
        <w:t>t</w:t>
      </w:r>
      <w:r w:rsidRPr="00D81E1A">
        <w:t xml:space="preserve">o review these documents. </w:t>
      </w:r>
    </w:p>
    <w:p w14:paraId="79678261" w14:textId="77777777" w:rsidR="00D667CE" w:rsidRDefault="00D667CE" w:rsidP="00D667CE">
      <w:pPr>
        <w:suppressLineNumbers/>
      </w:pPr>
      <w: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1557F9AA" w14:textId="1301CD7C" w:rsidR="004866EA" w:rsidRPr="00486594" w:rsidRDefault="00D667CE" w:rsidP="00D667CE">
      <w:pPr>
        <w:suppressLineNumbers/>
        <w:rPr>
          <w:bCs/>
          <w:i/>
          <w:iCs/>
        </w:rPr>
      </w:pPr>
      <w:r w:rsidRPr="00486594">
        <w:rPr>
          <w:bCs/>
          <w:i/>
          <w:iCs/>
        </w:rPr>
        <w:t>Note: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2A7360" w:rsidRPr="00486594">
        <w:rPr>
          <w:bCs/>
          <w:i/>
          <w:iCs/>
        </w:rPr>
        <w:t>.</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F652F9">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1883CC64"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77777777" w:rsidR="00891362" w:rsidRPr="00281428" w:rsidRDefault="00891362" w:rsidP="000803DF">
      <w:pPr>
        <w:pStyle w:val="SubjectSeriesLevel2"/>
        <w:keepNext/>
        <w:suppressLineNumbers/>
        <w:spacing w:before="120"/>
        <w:ind w:left="612"/>
      </w:pPr>
      <w:r w:rsidRPr="00281428">
        <w:t>Uniform Laws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77777777"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WMR</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61E6D0DA"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071DE02F"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2DBB0AE0" w14:textId="77777777" w:rsidR="00891362" w:rsidRPr="00281428" w:rsidRDefault="00891362" w:rsidP="000803DF">
      <w:pPr>
        <w:pStyle w:val="SubjectSeriesLevel1"/>
        <w:suppressLineNumbers/>
        <w:ind w:left="252"/>
      </w:pPr>
      <w:r w:rsidRPr="00281428">
        <w:t>Othe</w:t>
      </w:r>
      <w:r w:rsidR="00272AF2" w:rsidRPr="00281428">
        <w:t>r Items</w:t>
      </w:r>
      <w:r w:rsidR="00272AF2" w:rsidRPr="00281428">
        <w:tab/>
        <w:t>OTH</w:t>
      </w:r>
      <w:r w:rsidRPr="00281428">
        <w:t xml:space="preserve"> Series</w:t>
      </w:r>
    </w:p>
    <w:bookmarkEnd w:id="6"/>
    <w:p w14:paraId="7B9D0ABD" w14:textId="77777777" w:rsidR="00891362" w:rsidRPr="00281428" w:rsidRDefault="00891362" w:rsidP="000803DF">
      <w:pPr>
        <w:suppressLineNumbers/>
        <w:spacing w:after="200" w:line="276" w:lineRule="auto"/>
        <w:ind w:left="252"/>
        <w:jc w:val="left"/>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1B91741D" w14:textId="72FEA8C5" w:rsidR="00B44F78" w:rsidRDefault="00214C38">
      <w:pPr>
        <w:pStyle w:val="TOC1"/>
        <w:rPr>
          <w:rFonts w:asciiTheme="minorHAnsi" w:eastAsiaTheme="minorEastAsia" w:hAnsiTheme="minorHAnsi" w:cstheme="minorBidi"/>
          <w:b w:val="0"/>
          <w:caps w:val="0"/>
          <w:noProof/>
          <w:color w:val="auto"/>
          <w:sz w:val="22"/>
          <w:szCs w:val="22"/>
          <w:lang w:eastAsia="en-US"/>
        </w:rPr>
      </w:pPr>
      <w:r w:rsidRPr="00281428">
        <w:fldChar w:fldCharType="begin"/>
      </w:r>
      <w:r w:rsidRPr="00281428">
        <w:instrText xml:space="preserve"> TOC \o "1-1" \h \z \t "Appendix Heading,3,Item Heading,2,Roman Item Heading,4" </w:instrText>
      </w:r>
      <w:r w:rsidRPr="00281428">
        <w:fldChar w:fldCharType="separate"/>
      </w:r>
      <w:hyperlink w:anchor="_Toc65741430" w:history="1">
        <w:r w:rsidR="00B44F78" w:rsidRPr="00AC1439">
          <w:rPr>
            <w:rStyle w:val="Hyperlink"/>
          </w:rPr>
          <w:t>ITEM Block 1 (B1)</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HB 130, UPLR, Sec. 2.8. Multiunit Package.  HB 133 Modify “scope” for Chapters 2 – 4, add a Note following Sections 2.3.7.1. and 2.7.3., Create A Chapter 5. Specialized test Procedures</w:t>
        </w:r>
        <w:r w:rsidR="00B44F78" w:rsidRPr="00AC1439">
          <w:rPr>
            <w:rStyle w:val="Hyperlink"/>
            <w:rFonts w:eastAsia="Calibri"/>
          </w:rPr>
          <w:t xml:space="preserve"> </w:t>
        </w:r>
        <w:r w:rsidR="00B44F78" w:rsidRPr="00AC1439">
          <w:rPr>
            <w:rStyle w:val="Hyperlink"/>
          </w:rPr>
          <w:t>and HB133 Appendix F. Glossary</w:t>
        </w:r>
        <w:r w:rsidR="00B44F78">
          <w:rPr>
            <w:noProof/>
            <w:webHidden/>
          </w:rPr>
          <w:tab/>
        </w:r>
        <w:r w:rsidR="00B44F78">
          <w:rPr>
            <w:noProof/>
            <w:webHidden/>
          </w:rPr>
          <w:fldChar w:fldCharType="begin"/>
        </w:r>
        <w:r w:rsidR="00B44F78">
          <w:rPr>
            <w:noProof/>
            <w:webHidden/>
          </w:rPr>
          <w:instrText xml:space="preserve"> PAGEREF _Toc65741430 \h </w:instrText>
        </w:r>
        <w:r w:rsidR="00B44F78">
          <w:rPr>
            <w:noProof/>
            <w:webHidden/>
          </w:rPr>
        </w:r>
        <w:r w:rsidR="00B44F78">
          <w:rPr>
            <w:noProof/>
            <w:webHidden/>
          </w:rPr>
          <w:fldChar w:fldCharType="separate"/>
        </w:r>
        <w:r w:rsidR="00392DBC">
          <w:rPr>
            <w:noProof/>
            <w:webHidden/>
          </w:rPr>
          <w:t>6</w:t>
        </w:r>
        <w:r w:rsidR="00B44F78">
          <w:rPr>
            <w:noProof/>
            <w:webHidden/>
          </w:rPr>
          <w:fldChar w:fldCharType="end"/>
        </w:r>
      </w:hyperlink>
    </w:p>
    <w:p w14:paraId="36203FD2" w14:textId="31D49B81" w:rsidR="00B44F78" w:rsidRDefault="0057723E">
      <w:pPr>
        <w:pStyle w:val="TOC2"/>
        <w:rPr>
          <w:rFonts w:asciiTheme="minorHAnsi" w:eastAsiaTheme="minorEastAsia" w:hAnsiTheme="minorHAnsi" w:cstheme="minorBidi"/>
          <w:noProof/>
          <w:color w:val="auto"/>
          <w:sz w:val="22"/>
          <w:lang w:eastAsia="en-US"/>
        </w:rPr>
      </w:pPr>
      <w:hyperlink w:anchor="_Toc65741431" w:history="1">
        <w:r w:rsidR="00B44F78" w:rsidRPr="00AC1439">
          <w:rPr>
            <w:rStyle w:val="Hyperlink"/>
          </w:rPr>
          <w:t>B1: PAL-19.1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Section 2.8. Multiunit Package</w:t>
        </w:r>
        <w:r w:rsidR="00B44F78">
          <w:rPr>
            <w:noProof/>
            <w:webHidden/>
          </w:rPr>
          <w:tab/>
        </w:r>
        <w:r w:rsidR="00B44F78">
          <w:rPr>
            <w:noProof/>
            <w:webHidden/>
          </w:rPr>
          <w:fldChar w:fldCharType="begin"/>
        </w:r>
        <w:r w:rsidR="00B44F78">
          <w:rPr>
            <w:noProof/>
            <w:webHidden/>
          </w:rPr>
          <w:instrText xml:space="preserve"> PAGEREF _Toc65741431 \h </w:instrText>
        </w:r>
        <w:r w:rsidR="00B44F78">
          <w:rPr>
            <w:noProof/>
            <w:webHidden/>
          </w:rPr>
        </w:r>
        <w:r w:rsidR="00B44F78">
          <w:rPr>
            <w:noProof/>
            <w:webHidden/>
          </w:rPr>
          <w:fldChar w:fldCharType="separate"/>
        </w:r>
        <w:r w:rsidR="00392DBC">
          <w:rPr>
            <w:noProof/>
            <w:webHidden/>
          </w:rPr>
          <w:t>6</w:t>
        </w:r>
        <w:r w:rsidR="00B44F78">
          <w:rPr>
            <w:noProof/>
            <w:webHidden/>
          </w:rPr>
          <w:fldChar w:fldCharType="end"/>
        </w:r>
      </w:hyperlink>
    </w:p>
    <w:p w14:paraId="0E3D397A" w14:textId="78BB6C0B" w:rsidR="00B44F78" w:rsidRDefault="0057723E">
      <w:pPr>
        <w:pStyle w:val="TOC2"/>
        <w:rPr>
          <w:rFonts w:asciiTheme="minorHAnsi" w:eastAsiaTheme="minorEastAsia" w:hAnsiTheme="minorHAnsi" w:cstheme="minorBidi"/>
          <w:noProof/>
          <w:color w:val="auto"/>
          <w:sz w:val="22"/>
          <w:lang w:eastAsia="en-US"/>
        </w:rPr>
      </w:pPr>
      <w:hyperlink w:anchor="_Toc65741432" w:history="1">
        <w:r w:rsidR="00B44F78" w:rsidRPr="00AC1439">
          <w:rPr>
            <w:rStyle w:val="Hyperlink"/>
          </w:rPr>
          <w:t>B1: NET-19.1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Section 1.2.4. Maximum Allowable Variation</w:t>
        </w:r>
        <w:r w:rsidR="00B44F78">
          <w:rPr>
            <w:noProof/>
            <w:webHidden/>
          </w:rPr>
          <w:tab/>
        </w:r>
        <w:r w:rsidR="00B44F78">
          <w:rPr>
            <w:noProof/>
            <w:webHidden/>
          </w:rPr>
          <w:fldChar w:fldCharType="begin"/>
        </w:r>
        <w:r w:rsidR="00B44F78">
          <w:rPr>
            <w:noProof/>
            <w:webHidden/>
          </w:rPr>
          <w:instrText xml:space="preserve"> PAGEREF _Toc65741432 \h </w:instrText>
        </w:r>
        <w:r w:rsidR="00B44F78">
          <w:rPr>
            <w:noProof/>
            <w:webHidden/>
          </w:rPr>
        </w:r>
        <w:r w:rsidR="00B44F78">
          <w:rPr>
            <w:noProof/>
            <w:webHidden/>
          </w:rPr>
          <w:fldChar w:fldCharType="separate"/>
        </w:r>
        <w:r w:rsidR="00392DBC">
          <w:rPr>
            <w:noProof/>
            <w:webHidden/>
          </w:rPr>
          <w:t>6</w:t>
        </w:r>
        <w:r w:rsidR="00B44F78">
          <w:rPr>
            <w:noProof/>
            <w:webHidden/>
          </w:rPr>
          <w:fldChar w:fldCharType="end"/>
        </w:r>
      </w:hyperlink>
    </w:p>
    <w:p w14:paraId="5DD2BD28" w14:textId="5611BCC3" w:rsidR="00B44F78" w:rsidRDefault="0057723E">
      <w:pPr>
        <w:pStyle w:val="TOC2"/>
        <w:rPr>
          <w:rFonts w:asciiTheme="minorHAnsi" w:eastAsiaTheme="minorEastAsia" w:hAnsiTheme="minorHAnsi" w:cstheme="minorBidi"/>
          <w:noProof/>
          <w:color w:val="auto"/>
          <w:sz w:val="22"/>
          <w:lang w:eastAsia="en-US"/>
        </w:rPr>
      </w:pPr>
      <w:hyperlink w:anchor="_Toc65741433" w:history="1">
        <w:r w:rsidR="00B44F78" w:rsidRPr="00AC1439">
          <w:rPr>
            <w:rStyle w:val="Hyperlink"/>
          </w:rPr>
          <w:t>B1: NET-19.2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Sections 2.1. Scope, 3.1. Scope, 4.1. Scope, 2.3.7.1. Maximum Allowable Variation (MAV) Requirement, and Section 2.7.3. “Evaluation of Results – Compliance Determinations”</w:t>
        </w:r>
        <w:r w:rsidR="00B44F78">
          <w:rPr>
            <w:noProof/>
            <w:webHidden/>
          </w:rPr>
          <w:tab/>
        </w:r>
        <w:r w:rsidR="00B44F78">
          <w:rPr>
            <w:noProof/>
            <w:webHidden/>
          </w:rPr>
          <w:fldChar w:fldCharType="begin"/>
        </w:r>
        <w:r w:rsidR="00B44F78">
          <w:rPr>
            <w:noProof/>
            <w:webHidden/>
          </w:rPr>
          <w:instrText xml:space="preserve"> PAGEREF _Toc65741433 \h </w:instrText>
        </w:r>
        <w:r w:rsidR="00B44F78">
          <w:rPr>
            <w:noProof/>
            <w:webHidden/>
          </w:rPr>
        </w:r>
        <w:r w:rsidR="00B44F78">
          <w:rPr>
            <w:noProof/>
            <w:webHidden/>
          </w:rPr>
          <w:fldChar w:fldCharType="separate"/>
        </w:r>
        <w:r w:rsidR="00392DBC">
          <w:rPr>
            <w:noProof/>
            <w:webHidden/>
          </w:rPr>
          <w:t>8</w:t>
        </w:r>
        <w:r w:rsidR="00B44F78">
          <w:rPr>
            <w:noProof/>
            <w:webHidden/>
          </w:rPr>
          <w:fldChar w:fldCharType="end"/>
        </w:r>
      </w:hyperlink>
    </w:p>
    <w:p w14:paraId="78AF9E70" w14:textId="288922BD" w:rsidR="00B44F78" w:rsidRDefault="0057723E">
      <w:pPr>
        <w:pStyle w:val="TOC2"/>
        <w:rPr>
          <w:rFonts w:asciiTheme="minorHAnsi" w:eastAsiaTheme="minorEastAsia" w:hAnsiTheme="minorHAnsi" w:cstheme="minorBidi"/>
          <w:noProof/>
          <w:color w:val="auto"/>
          <w:sz w:val="22"/>
          <w:lang w:eastAsia="en-US"/>
        </w:rPr>
      </w:pPr>
      <w:hyperlink w:anchor="_Toc65741434" w:history="1">
        <w:r w:rsidR="00B44F78" w:rsidRPr="00AC1439">
          <w:rPr>
            <w:rStyle w:val="Hyperlink"/>
          </w:rPr>
          <w:t>B1: NET-19.3</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Create a Chapter 5.  Specialized Test Procedures</w:t>
        </w:r>
        <w:r w:rsidR="00B44F78">
          <w:rPr>
            <w:noProof/>
            <w:webHidden/>
          </w:rPr>
          <w:tab/>
        </w:r>
        <w:r w:rsidR="00B44F78">
          <w:rPr>
            <w:noProof/>
            <w:webHidden/>
          </w:rPr>
          <w:fldChar w:fldCharType="begin"/>
        </w:r>
        <w:r w:rsidR="00B44F78">
          <w:rPr>
            <w:noProof/>
            <w:webHidden/>
          </w:rPr>
          <w:instrText xml:space="preserve"> PAGEREF _Toc65741434 \h </w:instrText>
        </w:r>
        <w:r w:rsidR="00B44F78">
          <w:rPr>
            <w:noProof/>
            <w:webHidden/>
          </w:rPr>
        </w:r>
        <w:r w:rsidR="00B44F78">
          <w:rPr>
            <w:noProof/>
            <w:webHidden/>
          </w:rPr>
          <w:fldChar w:fldCharType="separate"/>
        </w:r>
        <w:r w:rsidR="00392DBC">
          <w:rPr>
            <w:noProof/>
            <w:webHidden/>
          </w:rPr>
          <w:t>8</w:t>
        </w:r>
        <w:r w:rsidR="00B44F78">
          <w:rPr>
            <w:noProof/>
            <w:webHidden/>
          </w:rPr>
          <w:fldChar w:fldCharType="end"/>
        </w:r>
      </w:hyperlink>
    </w:p>
    <w:p w14:paraId="045E3902" w14:textId="00E7CD47" w:rsidR="00B44F78" w:rsidRDefault="0057723E">
      <w:pPr>
        <w:pStyle w:val="TOC2"/>
        <w:rPr>
          <w:rFonts w:asciiTheme="minorHAnsi" w:eastAsiaTheme="minorEastAsia" w:hAnsiTheme="minorHAnsi" w:cstheme="minorBidi"/>
          <w:noProof/>
          <w:color w:val="auto"/>
          <w:sz w:val="22"/>
          <w:lang w:eastAsia="en-US"/>
        </w:rPr>
      </w:pPr>
      <w:hyperlink w:anchor="_Toc65741435" w:history="1">
        <w:r w:rsidR="00B44F78" w:rsidRPr="00AC1439">
          <w:rPr>
            <w:rStyle w:val="Hyperlink"/>
          </w:rPr>
          <w:t>B1: NET-19.4</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Appendix F. Glossary</w:t>
        </w:r>
        <w:r w:rsidR="00B44F78">
          <w:rPr>
            <w:noProof/>
            <w:webHidden/>
          </w:rPr>
          <w:tab/>
        </w:r>
        <w:r w:rsidR="00B44F78">
          <w:rPr>
            <w:noProof/>
            <w:webHidden/>
          </w:rPr>
          <w:fldChar w:fldCharType="begin"/>
        </w:r>
        <w:r w:rsidR="00B44F78">
          <w:rPr>
            <w:noProof/>
            <w:webHidden/>
          </w:rPr>
          <w:instrText xml:space="preserve"> PAGEREF _Toc65741435 \h </w:instrText>
        </w:r>
        <w:r w:rsidR="00B44F78">
          <w:rPr>
            <w:noProof/>
            <w:webHidden/>
          </w:rPr>
        </w:r>
        <w:r w:rsidR="00B44F78">
          <w:rPr>
            <w:noProof/>
            <w:webHidden/>
          </w:rPr>
          <w:fldChar w:fldCharType="separate"/>
        </w:r>
        <w:r w:rsidR="00392DBC">
          <w:rPr>
            <w:noProof/>
            <w:webHidden/>
          </w:rPr>
          <w:t>13</w:t>
        </w:r>
        <w:r w:rsidR="00B44F78">
          <w:rPr>
            <w:noProof/>
            <w:webHidden/>
          </w:rPr>
          <w:fldChar w:fldCharType="end"/>
        </w:r>
      </w:hyperlink>
    </w:p>
    <w:p w14:paraId="2DBDC131" w14:textId="3629596A" w:rsidR="00B44F78" w:rsidRDefault="0057723E">
      <w:pPr>
        <w:pStyle w:val="TOC1"/>
        <w:rPr>
          <w:rFonts w:asciiTheme="minorHAnsi" w:eastAsiaTheme="minorEastAsia" w:hAnsiTheme="minorHAnsi" w:cstheme="minorBidi"/>
          <w:b w:val="0"/>
          <w:caps w:val="0"/>
          <w:noProof/>
          <w:color w:val="auto"/>
          <w:sz w:val="22"/>
          <w:szCs w:val="22"/>
          <w:lang w:eastAsia="en-US"/>
        </w:rPr>
      </w:pPr>
      <w:hyperlink w:anchor="_Toc65741436" w:history="1">
        <w:r w:rsidR="00B44F78" w:rsidRPr="00AC1439">
          <w:rPr>
            <w:rStyle w:val="Hyperlink"/>
          </w:rPr>
          <w:t>PAL – UNIFORM packaging and labeling REGULATION</w:t>
        </w:r>
        <w:r w:rsidR="00B44F78">
          <w:rPr>
            <w:noProof/>
            <w:webHidden/>
          </w:rPr>
          <w:tab/>
        </w:r>
        <w:r w:rsidR="00B44F78">
          <w:rPr>
            <w:noProof/>
            <w:webHidden/>
          </w:rPr>
          <w:fldChar w:fldCharType="begin"/>
        </w:r>
        <w:r w:rsidR="00B44F78">
          <w:rPr>
            <w:noProof/>
            <w:webHidden/>
          </w:rPr>
          <w:instrText xml:space="preserve"> PAGEREF _Toc65741436 \h </w:instrText>
        </w:r>
        <w:r w:rsidR="00B44F78">
          <w:rPr>
            <w:noProof/>
            <w:webHidden/>
          </w:rPr>
        </w:r>
        <w:r w:rsidR="00B44F78">
          <w:rPr>
            <w:noProof/>
            <w:webHidden/>
          </w:rPr>
          <w:fldChar w:fldCharType="separate"/>
        </w:r>
        <w:r w:rsidR="00392DBC">
          <w:rPr>
            <w:noProof/>
            <w:webHidden/>
          </w:rPr>
          <w:t>19</w:t>
        </w:r>
        <w:r w:rsidR="00B44F78">
          <w:rPr>
            <w:noProof/>
            <w:webHidden/>
          </w:rPr>
          <w:fldChar w:fldCharType="end"/>
        </w:r>
      </w:hyperlink>
    </w:p>
    <w:p w14:paraId="63A948DE" w14:textId="2CF49120" w:rsidR="00B44F78" w:rsidRDefault="0057723E">
      <w:pPr>
        <w:pStyle w:val="TOC2"/>
        <w:rPr>
          <w:rFonts w:asciiTheme="minorHAnsi" w:eastAsiaTheme="minorEastAsia" w:hAnsiTheme="minorHAnsi" w:cstheme="minorBidi"/>
          <w:noProof/>
          <w:color w:val="auto"/>
          <w:sz w:val="22"/>
          <w:lang w:eastAsia="en-US"/>
        </w:rPr>
      </w:pPr>
      <w:hyperlink w:anchor="_Toc65741437" w:history="1">
        <w:r w:rsidR="00B44F78" w:rsidRPr="00AC1439">
          <w:rPr>
            <w:rStyle w:val="Hyperlink"/>
          </w:rPr>
          <w:t>PAL-21.1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11.XX. Bacon and 11.19. Margarine</w:t>
        </w:r>
        <w:r w:rsidR="00B44F78">
          <w:rPr>
            <w:noProof/>
            <w:webHidden/>
          </w:rPr>
          <w:tab/>
        </w:r>
        <w:r w:rsidR="00B44F78">
          <w:rPr>
            <w:noProof/>
            <w:webHidden/>
          </w:rPr>
          <w:fldChar w:fldCharType="begin"/>
        </w:r>
        <w:r w:rsidR="00B44F78">
          <w:rPr>
            <w:noProof/>
            <w:webHidden/>
          </w:rPr>
          <w:instrText xml:space="preserve"> PAGEREF _Toc65741437 \h </w:instrText>
        </w:r>
        <w:r w:rsidR="00B44F78">
          <w:rPr>
            <w:noProof/>
            <w:webHidden/>
          </w:rPr>
        </w:r>
        <w:r w:rsidR="00B44F78">
          <w:rPr>
            <w:noProof/>
            <w:webHidden/>
          </w:rPr>
          <w:fldChar w:fldCharType="separate"/>
        </w:r>
        <w:r w:rsidR="00392DBC">
          <w:rPr>
            <w:noProof/>
            <w:webHidden/>
          </w:rPr>
          <w:t>19</w:t>
        </w:r>
        <w:r w:rsidR="00B44F78">
          <w:rPr>
            <w:noProof/>
            <w:webHidden/>
          </w:rPr>
          <w:fldChar w:fldCharType="end"/>
        </w:r>
      </w:hyperlink>
    </w:p>
    <w:p w14:paraId="705D6535" w14:textId="17BF806D" w:rsidR="00B44F78" w:rsidRDefault="0057723E">
      <w:pPr>
        <w:pStyle w:val="TOC1"/>
        <w:rPr>
          <w:rFonts w:asciiTheme="minorHAnsi" w:eastAsiaTheme="minorEastAsia" w:hAnsiTheme="minorHAnsi" w:cstheme="minorBidi"/>
          <w:b w:val="0"/>
          <w:caps w:val="0"/>
          <w:noProof/>
          <w:color w:val="auto"/>
          <w:sz w:val="22"/>
          <w:szCs w:val="22"/>
          <w:lang w:eastAsia="en-US"/>
        </w:rPr>
      </w:pPr>
      <w:hyperlink w:anchor="_Toc65741438" w:history="1">
        <w:r w:rsidR="00B44F78" w:rsidRPr="00AC1439">
          <w:rPr>
            <w:rStyle w:val="Hyperlink"/>
          </w:rPr>
          <w:t>MOS – UNIFORM REGULATION FOR THE METHOD OF SALE of COMMODITIES</w:t>
        </w:r>
        <w:r w:rsidR="00B44F78">
          <w:rPr>
            <w:noProof/>
            <w:webHidden/>
          </w:rPr>
          <w:tab/>
        </w:r>
        <w:r w:rsidR="00B44F78">
          <w:rPr>
            <w:noProof/>
            <w:webHidden/>
          </w:rPr>
          <w:fldChar w:fldCharType="begin"/>
        </w:r>
        <w:r w:rsidR="00B44F78">
          <w:rPr>
            <w:noProof/>
            <w:webHidden/>
          </w:rPr>
          <w:instrText xml:space="preserve"> PAGEREF _Toc65741438 \h </w:instrText>
        </w:r>
        <w:r w:rsidR="00B44F78">
          <w:rPr>
            <w:noProof/>
            <w:webHidden/>
          </w:rPr>
        </w:r>
        <w:r w:rsidR="00B44F78">
          <w:rPr>
            <w:noProof/>
            <w:webHidden/>
          </w:rPr>
          <w:fldChar w:fldCharType="separate"/>
        </w:r>
        <w:r w:rsidR="00392DBC">
          <w:rPr>
            <w:noProof/>
            <w:webHidden/>
          </w:rPr>
          <w:t>22</w:t>
        </w:r>
        <w:r w:rsidR="00B44F78">
          <w:rPr>
            <w:noProof/>
            <w:webHidden/>
          </w:rPr>
          <w:fldChar w:fldCharType="end"/>
        </w:r>
      </w:hyperlink>
    </w:p>
    <w:p w14:paraId="4A00860F" w14:textId="4A1B3798" w:rsidR="00B44F78" w:rsidRDefault="0057723E">
      <w:pPr>
        <w:pStyle w:val="TOC2"/>
        <w:rPr>
          <w:rFonts w:asciiTheme="minorHAnsi" w:eastAsiaTheme="minorEastAsia" w:hAnsiTheme="minorHAnsi" w:cstheme="minorBidi"/>
          <w:noProof/>
          <w:color w:val="auto"/>
          <w:sz w:val="22"/>
          <w:lang w:eastAsia="en-US"/>
        </w:rPr>
      </w:pPr>
      <w:hyperlink w:anchor="_Toc65741439" w:history="1">
        <w:r w:rsidR="00B44F78" w:rsidRPr="00AC1439">
          <w:rPr>
            <w:rStyle w:val="Hyperlink"/>
          </w:rPr>
          <w:t>MOS-20.5</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2.21.  Liquefied Petroleum Gas</w:t>
        </w:r>
        <w:r w:rsidR="00B44F78">
          <w:rPr>
            <w:noProof/>
            <w:webHidden/>
          </w:rPr>
          <w:tab/>
        </w:r>
        <w:r w:rsidR="00B44F78">
          <w:rPr>
            <w:noProof/>
            <w:webHidden/>
          </w:rPr>
          <w:fldChar w:fldCharType="begin"/>
        </w:r>
        <w:r w:rsidR="00B44F78">
          <w:rPr>
            <w:noProof/>
            <w:webHidden/>
          </w:rPr>
          <w:instrText xml:space="preserve"> PAGEREF _Toc65741439 \h </w:instrText>
        </w:r>
        <w:r w:rsidR="00B44F78">
          <w:rPr>
            <w:noProof/>
            <w:webHidden/>
          </w:rPr>
        </w:r>
        <w:r w:rsidR="00B44F78">
          <w:rPr>
            <w:noProof/>
            <w:webHidden/>
          </w:rPr>
          <w:fldChar w:fldCharType="separate"/>
        </w:r>
        <w:r w:rsidR="00392DBC">
          <w:rPr>
            <w:noProof/>
            <w:webHidden/>
          </w:rPr>
          <w:t>22</w:t>
        </w:r>
        <w:r w:rsidR="00B44F78">
          <w:rPr>
            <w:noProof/>
            <w:webHidden/>
          </w:rPr>
          <w:fldChar w:fldCharType="end"/>
        </w:r>
      </w:hyperlink>
    </w:p>
    <w:p w14:paraId="1123C532" w14:textId="0EDA5467" w:rsidR="00B44F78" w:rsidRDefault="0057723E">
      <w:pPr>
        <w:pStyle w:val="TOC1"/>
        <w:rPr>
          <w:rFonts w:asciiTheme="minorHAnsi" w:eastAsiaTheme="minorEastAsia" w:hAnsiTheme="minorHAnsi" w:cstheme="minorBidi"/>
          <w:b w:val="0"/>
          <w:caps w:val="0"/>
          <w:noProof/>
          <w:color w:val="auto"/>
          <w:sz w:val="22"/>
          <w:szCs w:val="22"/>
          <w:lang w:eastAsia="en-US"/>
        </w:rPr>
      </w:pPr>
      <w:hyperlink w:anchor="_Toc65741440" w:history="1">
        <w:r w:rsidR="00B44F78" w:rsidRPr="00AC1439">
          <w:rPr>
            <w:rStyle w:val="Hyperlink"/>
          </w:rPr>
          <w:t>FLR - UNIFORM fuels and automotive lubricants REGULATION</w:t>
        </w:r>
        <w:r w:rsidR="00B44F78">
          <w:rPr>
            <w:noProof/>
            <w:webHidden/>
          </w:rPr>
          <w:tab/>
        </w:r>
        <w:r w:rsidR="00B44F78">
          <w:rPr>
            <w:noProof/>
            <w:webHidden/>
          </w:rPr>
          <w:fldChar w:fldCharType="begin"/>
        </w:r>
        <w:r w:rsidR="00B44F78">
          <w:rPr>
            <w:noProof/>
            <w:webHidden/>
          </w:rPr>
          <w:instrText xml:space="preserve"> PAGEREF _Toc65741440 \h </w:instrText>
        </w:r>
        <w:r w:rsidR="00B44F78">
          <w:rPr>
            <w:noProof/>
            <w:webHidden/>
          </w:rPr>
        </w:r>
        <w:r w:rsidR="00B44F78">
          <w:rPr>
            <w:noProof/>
            <w:webHidden/>
          </w:rPr>
          <w:fldChar w:fldCharType="separate"/>
        </w:r>
        <w:r w:rsidR="00392DBC">
          <w:rPr>
            <w:noProof/>
            <w:webHidden/>
          </w:rPr>
          <w:t>26</w:t>
        </w:r>
        <w:r w:rsidR="00B44F78">
          <w:rPr>
            <w:noProof/>
            <w:webHidden/>
          </w:rPr>
          <w:fldChar w:fldCharType="end"/>
        </w:r>
      </w:hyperlink>
    </w:p>
    <w:p w14:paraId="2450B72E" w14:textId="28C09B66" w:rsidR="00B44F78" w:rsidRDefault="0057723E">
      <w:pPr>
        <w:pStyle w:val="TOC2"/>
        <w:rPr>
          <w:rFonts w:asciiTheme="minorHAnsi" w:eastAsiaTheme="minorEastAsia" w:hAnsiTheme="minorHAnsi" w:cstheme="minorBidi"/>
          <w:noProof/>
          <w:color w:val="auto"/>
          <w:sz w:val="22"/>
          <w:lang w:eastAsia="en-US"/>
        </w:rPr>
      </w:pPr>
      <w:hyperlink w:anchor="_Toc65741441" w:history="1">
        <w:r w:rsidR="00B44F78" w:rsidRPr="00AC1439">
          <w:rPr>
            <w:rStyle w:val="Hyperlink"/>
          </w:rPr>
          <w:t>FLR-20.5</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2.1.2.(a).  Gasoline-Ethanol Blends.</w:t>
        </w:r>
        <w:r w:rsidR="00B44F78">
          <w:rPr>
            <w:noProof/>
            <w:webHidden/>
          </w:rPr>
          <w:tab/>
        </w:r>
        <w:r w:rsidR="00B44F78">
          <w:rPr>
            <w:noProof/>
            <w:webHidden/>
          </w:rPr>
          <w:fldChar w:fldCharType="begin"/>
        </w:r>
        <w:r w:rsidR="00B44F78">
          <w:rPr>
            <w:noProof/>
            <w:webHidden/>
          </w:rPr>
          <w:instrText xml:space="preserve"> PAGEREF _Toc65741441 \h </w:instrText>
        </w:r>
        <w:r w:rsidR="00B44F78">
          <w:rPr>
            <w:noProof/>
            <w:webHidden/>
          </w:rPr>
        </w:r>
        <w:r w:rsidR="00B44F78">
          <w:rPr>
            <w:noProof/>
            <w:webHidden/>
          </w:rPr>
          <w:fldChar w:fldCharType="separate"/>
        </w:r>
        <w:r w:rsidR="00392DBC">
          <w:rPr>
            <w:noProof/>
            <w:webHidden/>
          </w:rPr>
          <w:t>26</w:t>
        </w:r>
        <w:r w:rsidR="00B44F78">
          <w:rPr>
            <w:noProof/>
            <w:webHidden/>
          </w:rPr>
          <w:fldChar w:fldCharType="end"/>
        </w:r>
      </w:hyperlink>
    </w:p>
    <w:p w14:paraId="47901309" w14:textId="734267BB" w:rsidR="00B44F78" w:rsidRDefault="0057723E">
      <w:pPr>
        <w:pStyle w:val="TOC2"/>
        <w:rPr>
          <w:rFonts w:asciiTheme="minorHAnsi" w:eastAsiaTheme="minorEastAsia" w:hAnsiTheme="minorHAnsi" w:cstheme="minorBidi"/>
          <w:noProof/>
          <w:color w:val="auto"/>
          <w:sz w:val="22"/>
          <w:lang w:eastAsia="en-US"/>
        </w:rPr>
      </w:pPr>
      <w:hyperlink w:anchor="_Toc65741442" w:history="1">
        <w:r w:rsidR="00B44F78" w:rsidRPr="00AC1439">
          <w:rPr>
            <w:rStyle w:val="Hyperlink"/>
          </w:rPr>
          <w:t>FLR-21.1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4.4. Product Storage and Dispenser Identification</w:t>
        </w:r>
        <w:r w:rsidR="00B44F78">
          <w:rPr>
            <w:noProof/>
            <w:webHidden/>
          </w:rPr>
          <w:tab/>
        </w:r>
        <w:r w:rsidR="00B44F78">
          <w:rPr>
            <w:noProof/>
            <w:webHidden/>
          </w:rPr>
          <w:fldChar w:fldCharType="begin"/>
        </w:r>
        <w:r w:rsidR="00B44F78">
          <w:rPr>
            <w:noProof/>
            <w:webHidden/>
          </w:rPr>
          <w:instrText xml:space="preserve"> PAGEREF _Toc65741442 \h </w:instrText>
        </w:r>
        <w:r w:rsidR="00B44F78">
          <w:rPr>
            <w:noProof/>
            <w:webHidden/>
          </w:rPr>
        </w:r>
        <w:r w:rsidR="00B44F78">
          <w:rPr>
            <w:noProof/>
            <w:webHidden/>
          </w:rPr>
          <w:fldChar w:fldCharType="separate"/>
        </w:r>
        <w:r w:rsidR="00392DBC">
          <w:rPr>
            <w:noProof/>
            <w:webHidden/>
          </w:rPr>
          <w:t>31</w:t>
        </w:r>
        <w:r w:rsidR="00B44F78">
          <w:rPr>
            <w:noProof/>
            <w:webHidden/>
          </w:rPr>
          <w:fldChar w:fldCharType="end"/>
        </w:r>
      </w:hyperlink>
    </w:p>
    <w:p w14:paraId="7D372A5D" w14:textId="6A901330" w:rsidR="00B44F78" w:rsidRDefault="0057723E">
      <w:pPr>
        <w:pStyle w:val="TOC1"/>
        <w:rPr>
          <w:rFonts w:asciiTheme="minorHAnsi" w:eastAsiaTheme="minorEastAsia" w:hAnsiTheme="minorHAnsi" w:cstheme="minorBidi"/>
          <w:b w:val="0"/>
          <w:caps w:val="0"/>
          <w:noProof/>
          <w:color w:val="auto"/>
          <w:sz w:val="22"/>
          <w:szCs w:val="22"/>
          <w:lang w:eastAsia="en-US"/>
        </w:rPr>
      </w:pPr>
      <w:hyperlink w:anchor="_Toc65741443" w:history="1">
        <w:r w:rsidR="00B44F78" w:rsidRPr="00AC1439">
          <w:rPr>
            <w:rStyle w:val="Hyperlink"/>
            <w:rFonts w:eastAsia="Calibri"/>
          </w:rPr>
          <w:t>ITEM Block 3 (B3)</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Fonts w:eastAsia="Calibri"/>
          </w:rPr>
          <w:t>Method of Sale, SEction 2.33. OiL.  Fuels and Automotive Regs. Sections 2.14.  Engine (Motor) Oil, 3.13. Oil, and</w:t>
        </w:r>
        <w:r w:rsidR="00B44F78" w:rsidRPr="00AC1439">
          <w:rPr>
            <w:rStyle w:val="Hyperlink"/>
          </w:rPr>
          <w:t xml:space="preserve"> 7.2. Reproducibility Limits</w:t>
        </w:r>
        <w:r w:rsidR="00B44F78">
          <w:rPr>
            <w:noProof/>
            <w:webHidden/>
          </w:rPr>
          <w:tab/>
        </w:r>
        <w:r w:rsidR="00B44F78">
          <w:rPr>
            <w:noProof/>
            <w:webHidden/>
          </w:rPr>
          <w:fldChar w:fldCharType="begin"/>
        </w:r>
        <w:r w:rsidR="00B44F78">
          <w:rPr>
            <w:noProof/>
            <w:webHidden/>
          </w:rPr>
          <w:instrText xml:space="preserve"> PAGEREF _Toc65741443 \h </w:instrText>
        </w:r>
        <w:r w:rsidR="00B44F78">
          <w:rPr>
            <w:noProof/>
            <w:webHidden/>
          </w:rPr>
        </w:r>
        <w:r w:rsidR="00B44F78">
          <w:rPr>
            <w:noProof/>
            <w:webHidden/>
          </w:rPr>
          <w:fldChar w:fldCharType="separate"/>
        </w:r>
        <w:r w:rsidR="00392DBC">
          <w:rPr>
            <w:noProof/>
            <w:webHidden/>
          </w:rPr>
          <w:t>34</w:t>
        </w:r>
        <w:r w:rsidR="00B44F78">
          <w:rPr>
            <w:noProof/>
            <w:webHidden/>
          </w:rPr>
          <w:fldChar w:fldCharType="end"/>
        </w:r>
      </w:hyperlink>
    </w:p>
    <w:p w14:paraId="486139C8" w14:textId="24325C6B" w:rsidR="00B44F78" w:rsidRDefault="0057723E">
      <w:pPr>
        <w:pStyle w:val="TOC2"/>
        <w:rPr>
          <w:rFonts w:asciiTheme="minorHAnsi" w:eastAsiaTheme="minorEastAsia" w:hAnsiTheme="minorHAnsi" w:cstheme="minorBidi"/>
          <w:noProof/>
          <w:color w:val="auto"/>
          <w:sz w:val="22"/>
          <w:lang w:eastAsia="en-US"/>
        </w:rPr>
      </w:pPr>
      <w:hyperlink w:anchor="_Toc65741444" w:history="1">
        <w:r w:rsidR="00B44F78" w:rsidRPr="00AC1439">
          <w:rPr>
            <w:rStyle w:val="Hyperlink"/>
          </w:rPr>
          <w:t>B3: MOS-18.1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2.33. Oil</w:t>
        </w:r>
        <w:r w:rsidR="00B44F78">
          <w:rPr>
            <w:noProof/>
            <w:webHidden/>
          </w:rPr>
          <w:tab/>
        </w:r>
        <w:r w:rsidR="00B44F78">
          <w:rPr>
            <w:noProof/>
            <w:webHidden/>
          </w:rPr>
          <w:fldChar w:fldCharType="begin"/>
        </w:r>
        <w:r w:rsidR="00B44F78">
          <w:rPr>
            <w:noProof/>
            <w:webHidden/>
          </w:rPr>
          <w:instrText xml:space="preserve"> PAGEREF _Toc65741444 \h </w:instrText>
        </w:r>
        <w:r w:rsidR="00B44F78">
          <w:rPr>
            <w:noProof/>
            <w:webHidden/>
          </w:rPr>
        </w:r>
        <w:r w:rsidR="00B44F78">
          <w:rPr>
            <w:noProof/>
            <w:webHidden/>
          </w:rPr>
          <w:fldChar w:fldCharType="separate"/>
        </w:r>
        <w:r w:rsidR="00392DBC">
          <w:rPr>
            <w:noProof/>
            <w:webHidden/>
          </w:rPr>
          <w:t>34</w:t>
        </w:r>
        <w:r w:rsidR="00B44F78">
          <w:rPr>
            <w:noProof/>
            <w:webHidden/>
          </w:rPr>
          <w:fldChar w:fldCharType="end"/>
        </w:r>
      </w:hyperlink>
    </w:p>
    <w:p w14:paraId="54F27B35" w14:textId="7AF355EF" w:rsidR="00B44F78" w:rsidRDefault="0057723E">
      <w:pPr>
        <w:pStyle w:val="TOC2"/>
        <w:rPr>
          <w:rFonts w:asciiTheme="minorHAnsi" w:eastAsiaTheme="minorEastAsia" w:hAnsiTheme="minorHAnsi" w:cstheme="minorBidi"/>
          <w:noProof/>
          <w:color w:val="auto"/>
          <w:sz w:val="22"/>
          <w:lang w:eastAsia="en-US"/>
        </w:rPr>
      </w:pPr>
      <w:hyperlink w:anchor="_Toc65741445" w:history="1">
        <w:r w:rsidR="00B44F78" w:rsidRPr="00AC1439">
          <w:rPr>
            <w:rStyle w:val="Hyperlink"/>
          </w:rPr>
          <w:t>B3: FLR-18.1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Sections 2.14.  Engine (Motor) Oil, 3.13.  Oil and 7.2.  Reproducibility  Limits.</w:t>
        </w:r>
        <w:r w:rsidR="00B44F78">
          <w:rPr>
            <w:noProof/>
            <w:webHidden/>
          </w:rPr>
          <w:tab/>
        </w:r>
        <w:r w:rsidR="00B44F78">
          <w:rPr>
            <w:noProof/>
            <w:webHidden/>
          </w:rPr>
          <w:fldChar w:fldCharType="begin"/>
        </w:r>
        <w:r w:rsidR="00B44F78">
          <w:rPr>
            <w:noProof/>
            <w:webHidden/>
          </w:rPr>
          <w:instrText xml:space="preserve"> PAGEREF _Toc65741445 \h </w:instrText>
        </w:r>
        <w:r w:rsidR="00B44F78">
          <w:rPr>
            <w:noProof/>
            <w:webHidden/>
          </w:rPr>
        </w:r>
        <w:r w:rsidR="00B44F78">
          <w:rPr>
            <w:noProof/>
            <w:webHidden/>
          </w:rPr>
          <w:fldChar w:fldCharType="separate"/>
        </w:r>
        <w:r w:rsidR="00392DBC">
          <w:rPr>
            <w:noProof/>
            <w:webHidden/>
          </w:rPr>
          <w:t>36</w:t>
        </w:r>
        <w:r w:rsidR="00B44F78">
          <w:rPr>
            <w:noProof/>
            <w:webHidden/>
          </w:rPr>
          <w:fldChar w:fldCharType="end"/>
        </w:r>
      </w:hyperlink>
    </w:p>
    <w:p w14:paraId="756D7A04" w14:textId="53373888" w:rsidR="00B44F78" w:rsidRDefault="0057723E">
      <w:pPr>
        <w:pStyle w:val="TOC1"/>
        <w:rPr>
          <w:rFonts w:asciiTheme="minorHAnsi" w:eastAsiaTheme="minorEastAsia" w:hAnsiTheme="minorHAnsi" w:cstheme="minorBidi"/>
          <w:b w:val="0"/>
          <w:caps w:val="0"/>
          <w:noProof/>
          <w:color w:val="auto"/>
          <w:sz w:val="22"/>
          <w:szCs w:val="22"/>
          <w:lang w:eastAsia="en-US"/>
        </w:rPr>
      </w:pPr>
      <w:hyperlink w:anchor="_Toc65741446" w:history="1">
        <w:r w:rsidR="00B44F78" w:rsidRPr="00AC1439">
          <w:rPr>
            <w:rStyle w:val="Hyperlink"/>
          </w:rPr>
          <w:t>ITEM Block 4 (B4)</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Method of Sale Regulation, Section 2.20.2. Documentation for dispenser Labeling purposes.  Fuels and Automotive Lubricants REgulation, Section 1.23. Ethanol Flex Fuel, 2.1.2.(B) Gasoline-Ethanol Blends, and Section 3.2.5. Documentation for dispenser Labeling purposes</w:t>
        </w:r>
        <w:r w:rsidR="00B44F78">
          <w:rPr>
            <w:noProof/>
            <w:webHidden/>
          </w:rPr>
          <w:tab/>
        </w:r>
        <w:r w:rsidR="00B44F78">
          <w:rPr>
            <w:noProof/>
            <w:webHidden/>
          </w:rPr>
          <w:fldChar w:fldCharType="begin"/>
        </w:r>
        <w:r w:rsidR="00B44F78">
          <w:rPr>
            <w:noProof/>
            <w:webHidden/>
          </w:rPr>
          <w:instrText xml:space="preserve"> PAGEREF _Toc65741446 \h </w:instrText>
        </w:r>
        <w:r w:rsidR="00B44F78">
          <w:rPr>
            <w:noProof/>
            <w:webHidden/>
          </w:rPr>
        </w:r>
        <w:r w:rsidR="00B44F78">
          <w:rPr>
            <w:noProof/>
            <w:webHidden/>
          </w:rPr>
          <w:fldChar w:fldCharType="separate"/>
        </w:r>
        <w:r w:rsidR="00392DBC">
          <w:rPr>
            <w:noProof/>
            <w:webHidden/>
          </w:rPr>
          <w:t>44</w:t>
        </w:r>
        <w:r w:rsidR="00B44F78">
          <w:rPr>
            <w:noProof/>
            <w:webHidden/>
          </w:rPr>
          <w:fldChar w:fldCharType="end"/>
        </w:r>
      </w:hyperlink>
    </w:p>
    <w:p w14:paraId="03EEDC86" w14:textId="4658D82C" w:rsidR="00B44F78" w:rsidRDefault="0057723E">
      <w:pPr>
        <w:pStyle w:val="TOC2"/>
        <w:rPr>
          <w:rFonts w:asciiTheme="minorHAnsi" w:eastAsiaTheme="minorEastAsia" w:hAnsiTheme="minorHAnsi" w:cstheme="minorBidi"/>
          <w:noProof/>
          <w:color w:val="auto"/>
          <w:sz w:val="22"/>
          <w:lang w:eastAsia="en-US"/>
        </w:rPr>
      </w:pPr>
      <w:hyperlink w:anchor="_Toc65741447" w:history="1">
        <w:r w:rsidR="00B44F78" w:rsidRPr="00AC1439">
          <w:rPr>
            <w:rStyle w:val="Hyperlink"/>
          </w:rPr>
          <w:t>B4: MOS-20.2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2.20.2. Documentation for Dispenser Labeling Purposes.</w:t>
        </w:r>
        <w:r w:rsidR="00B44F78">
          <w:rPr>
            <w:noProof/>
            <w:webHidden/>
          </w:rPr>
          <w:tab/>
        </w:r>
        <w:r w:rsidR="00B44F78">
          <w:rPr>
            <w:noProof/>
            <w:webHidden/>
          </w:rPr>
          <w:fldChar w:fldCharType="begin"/>
        </w:r>
        <w:r w:rsidR="00B44F78">
          <w:rPr>
            <w:noProof/>
            <w:webHidden/>
          </w:rPr>
          <w:instrText xml:space="preserve"> PAGEREF _Toc65741447 \h </w:instrText>
        </w:r>
        <w:r w:rsidR="00B44F78">
          <w:rPr>
            <w:noProof/>
            <w:webHidden/>
          </w:rPr>
        </w:r>
        <w:r w:rsidR="00B44F78">
          <w:rPr>
            <w:noProof/>
            <w:webHidden/>
          </w:rPr>
          <w:fldChar w:fldCharType="separate"/>
        </w:r>
        <w:r w:rsidR="00392DBC">
          <w:rPr>
            <w:noProof/>
            <w:webHidden/>
          </w:rPr>
          <w:t>45</w:t>
        </w:r>
        <w:r w:rsidR="00B44F78">
          <w:rPr>
            <w:noProof/>
            <w:webHidden/>
          </w:rPr>
          <w:fldChar w:fldCharType="end"/>
        </w:r>
      </w:hyperlink>
    </w:p>
    <w:p w14:paraId="7D8EB7E6" w14:textId="4FF6ECEB" w:rsidR="00B44F78" w:rsidRDefault="0057723E">
      <w:pPr>
        <w:pStyle w:val="TOC2"/>
        <w:rPr>
          <w:rFonts w:asciiTheme="minorHAnsi" w:eastAsiaTheme="minorEastAsia" w:hAnsiTheme="minorHAnsi" w:cstheme="minorBidi"/>
          <w:noProof/>
          <w:color w:val="auto"/>
          <w:sz w:val="22"/>
          <w:lang w:eastAsia="en-US"/>
        </w:rPr>
      </w:pPr>
      <w:hyperlink w:anchor="_Toc65741448" w:history="1">
        <w:r w:rsidR="00B44F78" w:rsidRPr="00AC1439">
          <w:rPr>
            <w:rStyle w:val="Hyperlink"/>
          </w:rPr>
          <w:t>B4: FLR-20.3</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1.23.  Ethanol Flex Fuel</w:t>
        </w:r>
        <w:r w:rsidR="00B44F78">
          <w:rPr>
            <w:noProof/>
            <w:webHidden/>
          </w:rPr>
          <w:tab/>
        </w:r>
        <w:r w:rsidR="00B44F78">
          <w:rPr>
            <w:noProof/>
            <w:webHidden/>
          </w:rPr>
          <w:fldChar w:fldCharType="begin"/>
        </w:r>
        <w:r w:rsidR="00B44F78">
          <w:rPr>
            <w:noProof/>
            <w:webHidden/>
          </w:rPr>
          <w:instrText xml:space="preserve"> PAGEREF _Toc65741448 \h </w:instrText>
        </w:r>
        <w:r w:rsidR="00B44F78">
          <w:rPr>
            <w:noProof/>
            <w:webHidden/>
          </w:rPr>
        </w:r>
        <w:r w:rsidR="00B44F78">
          <w:rPr>
            <w:noProof/>
            <w:webHidden/>
          </w:rPr>
          <w:fldChar w:fldCharType="separate"/>
        </w:r>
        <w:r w:rsidR="00392DBC">
          <w:rPr>
            <w:noProof/>
            <w:webHidden/>
          </w:rPr>
          <w:t>45</w:t>
        </w:r>
        <w:r w:rsidR="00B44F78">
          <w:rPr>
            <w:noProof/>
            <w:webHidden/>
          </w:rPr>
          <w:fldChar w:fldCharType="end"/>
        </w:r>
      </w:hyperlink>
    </w:p>
    <w:p w14:paraId="6731EDBC" w14:textId="473501E7" w:rsidR="00B44F78" w:rsidRDefault="0057723E">
      <w:pPr>
        <w:pStyle w:val="TOC2"/>
        <w:rPr>
          <w:rFonts w:asciiTheme="minorHAnsi" w:eastAsiaTheme="minorEastAsia" w:hAnsiTheme="minorHAnsi" w:cstheme="minorBidi"/>
          <w:noProof/>
          <w:color w:val="auto"/>
          <w:sz w:val="22"/>
          <w:lang w:eastAsia="en-US"/>
        </w:rPr>
      </w:pPr>
      <w:hyperlink w:anchor="_Toc65741449" w:history="1">
        <w:r w:rsidR="00B44F78" w:rsidRPr="00AC1439">
          <w:rPr>
            <w:rStyle w:val="Hyperlink"/>
          </w:rPr>
          <w:t>B4: FLR-20.6</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2.1.2.(b).  Gasoline-Ethanol Blends</w:t>
        </w:r>
        <w:r w:rsidR="00B44F78">
          <w:rPr>
            <w:noProof/>
            <w:webHidden/>
          </w:rPr>
          <w:tab/>
        </w:r>
        <w:r w:rsidR="00B44F78">
          <w:rPr>
            <w:noProof/>
            <w:webHidden/>
          </w:rPr>
          <w:fldChar w:fldCharType="begin"/>
        </w:r>
        <w:r w:rsidR="00B44F78">
          <w:rPr>
            <w:noProof/>
            <w:webHidden/>
          </w:rPr>
          <w:instrText xml:space="preserve"> PAGEREF _Toc65741449 \h </w:instrText>
        </w:r>
        <w:r w:rsidR="00B44F78">
          <w:rPr>
            <w:noProof/>
            <w:webHidden/>
          </w:rPr>
        </w:r>
        <w:r w:rsidR="00B44F78">
          <w:rPr>
            <w:noProof/>
            <w:webHidden/>
          </w:rPr>
          <w:fldChar w:fldCharType="separate"/>
        </w:r>
        <w:r w:rsidR="00392DBC">
          <w:rPr>
            <w:noProof/>
            <w:webHidden/>
          </w:rPr>
          <w:t>45</w:t>
        </w:r>
        <w:r w:rsidR="00B44F78">
          <w:rPr>
            <w:noProof/>
            <w:webHidden/>
          </w:rPr>
          <w:fldChar w:fldCharType="end"/>
        </w:r>
      </w:hyperlink>
    </w:p>
    <w:p w14:paraId="017A36D1" w14:textId="4E815E43" w:rsidR="00B44F78" w:rsidRDefault="0057723E">
      <w:pPr>
        <w:pStyle w:val="TOC2"/>
        <w:rPr>
          <w:rFonts w:asciiTheme="minorHAnsi" w:eastAsiaTheme="minorEastAsia" w:hAnsiTheme="minorHAnsi" w:cstheme="minorBidi"/>
          <w:noProof/>
          <w:color w:val="auto"/>
          <w:sz w:val="22"/>
          <w:lang w:eastAsia="en-US"/>
        </w:rPr>
      </w:pPr>
      <w:hyperlink w:anchor="_Toc65741450" w:history="1">
        <w:r w:rsidR="00B44F78" w:rsidRPr="00AC1439">
          <w:rPr>
            <w:rStyle w:val="Hyperlink"/>
          </w:rPr>
          <w:t>B4: FLR-20.7</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3.2.5. Documentation for Dispenser Labeling Purposes</w:t>
        </w:r>
        <w:r w:rsidR="00B44F78">
          <w:rPr>
            <w:noProof/>
            <w:webHidden/>
          </w:rPr>
          <w:tab/>
        </w:r>
        <w:r w:rsidR="00B44F78">
          <w:rPr>
            <w:noProof/>
            <w:webHidden/>
          </w:rPr>
          <w:fldChar w:fldCharType="begin"/>
        </w:r>
        <w:r w:rsidR="00B44F78">
          <w:rPr>
            <w:noProof/>
            <w:webHidden/>
          </w:rPr>
          <w:instrText xml:space="preserve"> PAGEREF _Toc65741450 \h </w:instrText>
        </w:r>
        <w:r w:rsidR="00B44F78">
          <w:rPr>
            <w:noProof/>
            <w:webHidden/>
          </w:rPr>
        </w:r>
        <w:r w:rsidR="00B44F78">
          <w:rPr>
            <w:noProof/>
            <w:webHidden/>
          </w:rPr>
          <w:fldChar w:fldCharType="separate"/>
        </w:r>
        <w:r w:rsidR="00392DBC">
          <w:rPr>
            <w:noProof/>
            <w:webHidden/>
          </w:rPr>
          <w:t>46</w:t>
        </w:r>
        <w:r w:rsidR="00B44F78">
          <w:rPr>
            <w:noProof/>
            <w:webHidden/>
          </w:rPr>
          <w:fldChar w:fldCharType="end"/>
        </w:r>
      </w:hyperlink>
    </w:p>
    <w:p w14:paraId="4895AA85" w14:textId="224360B8" w:rsidR="00B44F78" w:rsidRDefault="0057723E">
      <w:pPr>
        <w:pStyle w:val="TOC1"/>
        <w:rPr>
          <w:rFonts w:asciiTheme="minorHAnsi" w:eastAsiaTheme="minorEastAsia" w:hAnsiTheme="minorHAnsi" w:cstheme="minorBidi"/>
          <w:b w:val="0"/>
          <w:caps w:val="0"/>
          <w:noProof/>
          <w:color w:val="auto"/>
          <w:sz w:val="22"/>
          <w:szCs w:val="22"/>
          <w:lang w:eastAsia="en-US"/>
        </w:rPr>
      </w:pPr>
      <w:hyperlink w:anchor="_Toc65741451" w:history="1">
        <w:r w:rsidR="00B44F78" w:rsidRPr="00AC1439">
          <w:rPr>
            <w:rStyle w:val="Hyperlink"/>
          </w:rPr>
          <w:t>ITEM Block 6 (B6)</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transmission Fluid</w:t>
        </w:r>
        <w:r w:rsidR="00B44F78">
          <w:rPr>
            <w:noProof/>
            <w:webHidden/>
          </w:rPr>
          <w:tab/>
        </w:r>
        <w:r w:rsidR="00B44F78">
          <w:rPr>
            <w:noProof/>
            <w:webHidden/>
          </w:rPr>
          <w:fldChar w:fldCharType="begin"/>
        </w:r>
        <w:r w:rsidR="00B44F78">
          <w:rPr>
            <w:noProof/>
            <w:webHidden/>
          </w:rPr>
          <w:instrText xml:space="preserve"> PAGEREF _Toc65741451 \h </w:instrText>
        </w:r>
        <w:r w:rsidR="00B44F78">
          <w:rPr>
            <w:noProof/>
            <w:webHidden/>
          </w:rPr>
        </w:r>
        <w:r w:rsidR="00B44F78">
          <w:rPr>
            <w:noProof/>
            <w:webHidden/>
          </w:rPr>
          <w:fldChar w:fldCharType="separate"/>
        </w:r>
        <w:r w:rsidR="00392DBC">
          <w:rPr>
            <w:noProof/>
            <w:webHidden/>
          </w:rPr>
          <w:t>53</w:t>
        </w:r>
        <w:r w:rsidR="00B44F78">
          <w:rPr>
            <w:noProof/>
            <w:webHidden/>
          </w:rPr>
          <w:fldChar w:fldCharType="end"/>
        </w:r>
      </w:hyperlink>
    </w:p>
    <w:p w14:paraId="30BB8BCE" w14:textId="39CAB39B" w:rsidR="00B44F78" w:rsidRDefault="0057723E">
      <w:pPr>
        <w:pStyle w:val="TOC2"/>
        <w:rPr>
          <w:rFonts w:asciiTheme="minorHAnsi" w:eastAsiaTheme="minorEastAsia" w:hAnsiTheme="minorHAnsi" w:cstheme="minorBidi"/>
          <w:noProof/>
          <w:color w:val="auto"/>
          <w:sz w:val="22"/>
          <w:lang w:eastAsia="en-US"/>
        </w:rPr>
      </w:pPr>
      <w:hyperlink w:anchor="_Toc65741452" w:history="1">
        <w:r w:rsidR="00B44F78" w:rsidRPr="00AC1439">
          <w:rPr>
            <w:rStyle w:val="Hyperlink"/>
          </w:rPr>
          <w:t>B6: MOS-21.1.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A </w:t>
        </w:r>
        <w:r w:rsidR="00D743BB">
          <w:rPr>
            <w:rStyle w:val="Hyperlink"/>
          </w:rPr>
          <w:tab/>
        </w:r>
        <w:r w:rsidR="00B44F78" w:rsidRPr="00AC1439">
          <w:rPr>
            <w:rStyle w:val="Hyperlink"/>
          </w:rPr>
          <w:t>Section 2.36.2. Labeling and Identification of Transmission Fluid</w:t>
        </w:r>
        <w:r w:rsidR="00B44F78">
          <w:rPr>
            <w:noProof/>
            <w:webHidden/>
          </w:rPr>
          <w:tab/>
        </w:r>
        <w:r w:rsidR="00B44F78">
          <w:rPr>
            <w:noProof/>
            <w:webHidden/>
          </w:rPr>
          <w:fldChar w:fldCharType="begin"/>
        </w:r>
        <w:r w:rsidR="00B44F78">
          <w:rPr>
            <w:noProof/>
            <w:webHidden/>
          </w:rPr>
          <w:instrText xml:space="preserve"> PAGEREF _Toc65741452 \h </w:instrText>
        </w:r>
        <w:r w:rsidR="00B44F78">
          <w:rPr>
            <w:noProof/>
            <w:webHidden/>
          </w:rPr>
        </w:r>
        <w:r w:rsidR="00B44F78">
          <w:rPr>
            <w:noProof/>
            <w:webHidden/>
          </w:rPr>
          <w:fldChar w:fldCharType="separate"/>
        </w:r>
        <w:r w:rsidR="00392DBC">
          <w:rPr>
            <w:noProof/>
            <w:webHidden/>
          </w:rPr>
          <w:t>53</w:t>
        </w:r>
        <w:r w:rsidR="00B44F78">
          <w:rPr>
            <w:noProof/>
            <w:webHidden/>
          </w:rPr>
          <w:fldChar w:fldCharType="end"/>
        </w:r>
      </w:hyperlink>
    </w:p>
    <w:p w14:paraId="25EF3AD3" w14:textId="647EFD78" w:rsidR="00B44F78" w:rsidRDefault="0057723E">
      <w:pPr>
        <w:pStyle w:val="TOC2"/>
        <w:rPr>
          <w:rFonts w:asciiTheme="minorHAnsi" w:eastAsiaTheme="minorEastAsia" w:hAnsiTheme="minorHAnsi" w:cstheme="minorBidi"/>
          <w:noProof/>
          <w:color w:val="auto"/>
          <w:sz w:val="22"/>
          <w:lang w:eastAsia="en-US"/>
        </w:rPr>
      </w:pPr>
      <w:hyperlink w:anchor="_Toc65741453" w:history="1">
        <w:r w:rsidR="00B44F78" w:rsidRPr="00AC1439">
          <w:rPr>
            <w:rStyle w:val="Hyperlink"/>
          </w:rPr>
          <w:t>B6: FLR-21.2.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A </w:t>
        </w:r>
        <w:r w:rsidR="00D743BB">
          <w:rPr>
            <w:rStyle w:val="Hyperlink"/>
          </w:rPr>
          <w:tab/>
        </w:r>
        <w:r w:rsidR="00B44F78" w:rsidRPr="00AC1439">
          <w:rPr>
            <w:rStyle w:val="Hyperlink"/>
          </w:rPr>
          <w:t>Section 3.14.1. Labeling and Identification of Transmission Fluid</w:t>
        </w:r>
        <w:r w:rsidR="00B44F78">
          <w:rPr>
            <w:noProof/>
            <w:webHidden/>
          </w:rPr>
          <w:tab/>
        </w:r>
        <w:r w:rsidR="00B44F78">
          <w:rPr>
            <w:noProof/>
            <w:webHidden/>
          </w:rPr>
          <w:fldChar w:fldCharType="begin"/>
        </w:r>
        <w:r w:rsidR="00B44F78">
          <w:rPr>
            <w:noProof/>
            <w:webHidden/>
          </w:rPr>
          <w:instrText xml:space="preserve"> PAGEREF _Toc65741453 \h </w:instrText>
        </w:r>
        <w:r w:rsidR="00B44F78">
          <w:rPr>
            <w:noProof/>
            <w:webHidden/>
          </w:rPr>
        </w:r>
        <w:r w:rsidR="00B44F78">
          <w:rPr>
            <w:noProof/>
            <w:webHidden/>
          </w:rPr>
          <w:fldChar w:fldCharType="separate"/>
        </w:r>
        <w:r w:rsidR="00392DBC">
          <w:rPr>
            <w:noProof/>
            <w:webHidden/>
          </w:rPr>
          <w:t>54</w:t>
        </w:r>
        <w:r w:rsidR="00B44F78">
          <w:rPr>
            <w:noProof/>
            <w:webHidden/>
          </w:rPr>
          <w:fldChar w:fldCharType="end"/>
        </w:r>
      </w:hyperlink>
    </w:p>
    <w:p w14:paraId="65B07416" w14:textId="751BD21B" w:rsidR="00B44F78" w:rsidRDefault="0057723E">
      <w:pPr>
        <w:pStyle w:val="TOC1"/>
        <w:rPr>
          <w:rFonts w:asciiTheme="minorHAnsi" w:eastAsiaTheme="minorEastAsia" w:hAnsiTheme="minorHAnsi" w:cstheme="minorBidi"/>
          <w:b w:val="0"/>
          <w:caps w:val="0"/>
          <w:noProof/>
          <w:color w:val="auto"/>
          <w:sz w:val="22"/>
          <w:szCs w:val="22"/>
          <w:lang w:eastAsia="en-US"/>
        </w:rPr>
      </w:pPr>
      <w:hyperlink w:anchor="_Toc65741454" w:history="1">
        <w:r w:rsidR="00B44F78" w:rsidRPr="00AC1439">
          <w:rPr>
            <w:rStyle w:val="Hyperlink"/>
          </w:rPr>
          <w:t>ITEM Block 7 (B7)</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tractor hydraulic Fluid</w:t>
        </w:r>
        <w:r w:rsidR="00B44F78">
          <w:rPr>
            <w:noProof/>
            <w:webHidden/>
          </w:rPr>
          <w:tab/>
        </w:r>
        <w:r w:rsidR="00B44F78">
          <w:rPr>
            <w:noProof/>
            <w:webHidden/>
          </w:rPr>
          <w:fldChar w:fldCharType="begin"/>
        </w:r>
        <w:r w:rsidR="00B44F78">
          <w:rPr>
            <w:noProof/>
            <w:webHidden/>
          </w:rPr>
          <w:instrText xml:space="preserve"> PAGEREF _Toc65741454 \h </w:instrText>
        </w:r>
        <w:r w:rsidR="00B44F78">
          <w:rPr>
            <w:noProof/>
            <w:webHidden/>
          </w:rPr>
        </w:r>
        <w:r w:rsidR="00B44F78">
          <w:rPr>
            <w:noProof/>
            <w:webHidden/>
          </w:rPr>
          <w:fldChar w:fldCharType="separate"/>
        </w:r>
        <w:r w:rsidR="00392DBC">
          <w:rPr>
            <w:noProof/>
            <w:webHidden/>
          </w:rPr>
          <w:t>57</w:t>
        </w:r>
        <w:r w:rsidR="00B44F78">
          <w:rPr>
            <w:noProof/>
            <w:webHidden/>
          </w:rPr>
          <w:fldChar w:fldCharType="end"/>
        </w:r>
      </w:hyperlink>
    </w:p>
    <w:p w14:paraId="3D625C1D" w14:textId="1FACA816" w:rsidR="00B44F78" w:rsidRDefault="0057723E">
      <w:pPr>
        <w:pStyle w:val="TOC2"/>
        <w:rPr>
          <w:rFonts w:asciiTheme="minorHAnsi" w:eastAsiaTheme="minorEastAsia" w:hAnsiTheme="minorHAnsi" w:cstheme="minorBidi"/>
          <w:noProof/>
          <w:color w:val="auto"/>
          <w:sz w:val="22"/>
          <w:lang w:eastAsia="en-US"/>
        </w:rPr>
      </w:pPr>
      <w:hyperlink w:anchor="_Toc65741455" w:history="1">
        <w:r w:rsidR="00B44F78" w:rsidRPr="00AC1439">
          <w:rPr>
            <w:rStyle w:val="Hyperlink"/>
          </w:rPr>
          <w:t>B7: MOS-21.2.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2.39.2. Labeling and Identification of Tractor Hydraulic Fluid</w:t>
        </w:r>
        <w:r w:rsidR="00B44F78">
          <w:rPr>
            <w:noProof/>
            <w:webHidden/>
          </w:rPr>
          <w:tab/>
        </w:r>
        <w:r w:rsidR="00B44F78">
          <w:rPr>
            <w:noProof/>
            <w:webHidden/>
          </w:rPr>
          <w:fldChar w:fldCharType="begin"/>
        </w:r>
        <w:r w:rsidR="00B44F78">
          <w:rPr>
            <w:noProof/>
            <w:webHidden/>
          </w:rPr>
          <w:instrText xml:space="preserve"> PAGEREF _Toc65741455 \h </w:instrText>
        </w:r>
        <w:r w:rsidR="00B44F78">
          <w:rPr>
            <w:noProof/>
            <w:webHidden/>
          </w:rPr>
        </w:r>
        <w:r w:rsidR="00B44F78">
          <w:rPr>
            <w:noProof/>
            <w:webHidden/>
          </w:rPr>
          <w:fldChar w:fldCharType="separate"/>
        </w:r>
        <w:r w:rsidR="00392DBC">
          <w:rPr>
            <w:noProof/>
            <w:webHidden/>
          </w:rPr>
          <w:t>58</w:t>
        </w:r>
        <w:r w:rsidR="00B44F78">
          <w:rPr>
            <w:noProof/>
            <w:webHidden/>
          </w:rPr>
          <w:fldChar w:fldCharType="end"/>
        </w:r>
      </w:hyperlink>
    </w:p>
    <w:p w14:paraId="0174A280" w14:textId="7EFE7126" w:rsidR="00B44F78" w:rsidRDefault="0057723E">
      <w:pPr>
        <w:pStyle w:val="TOC2"/>
        <w:rPr>
          <w:rFonts w:asciiTheme="minorHAnsi" w:eastAsiaTheme="minorEastAsia" w:hAnsiTheme="minorHAnsi" w:cstheme="minorBidi"/>
          <w:noProof/>
          <w:color w:val="auto"/>
          <w:sz w:val="22"/>
          <w:lang w:eastAsia="en-US"/>
        </w:rPr>
      </w:pPr>
      <w:hyperlink w:anchor="_Toc65741456" w:history="1">
        <w:r w:rsidR="00B44F78" w:rsidRPr="00AC1439">
          <w:rPr>
            <w:rStyle w:val="Hyperlink"/>
          </w:rPr>
          <w:t>B7: FLR-21.3.</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3.17.1. Labeling and Identification of Tractor Hydraulic Fluid</w:t>
        </w:r>
        <w:r w:rsidR="00B44F78">
          <w:rPr>
            <w:noProof/>
            <w:webHidden/>
          </w:rPr>
          <w:tab/>
        </w:r>
        <w:r w:rsidR="00B44F78">
          <w:rPr>
            <w:noProof/>
            <w:webHidden/>
          </w:rPr>
          <w:fldChar w:fldCharType="begin"/>
        </w:r>
        <w:r w:rsidR="00B44F78">
          <w:rPr>
            <w:noProof/>
            <w:webHidden/>
          </w:rPr>
          <w:instrText xml:space="preserve"> PAGEREF _Toc65741456 \h </w:instrText>
        </w:r>
        <w:r w:rsidR="00B44F78">
          <w:rPr>
            <w:noProof/>
            <w:webHidden/>
          </w:rPr>
        </w:r>
        <w:r w:rsidR="00B44F78">
          <w:rPr>
            <w:noProof/>
            <w:webHidden/>
          </w:rPr>
          <w:fldChar w:fldCharType="separate"/>
        </w:r>
        <w:r w:rsidR="00392DBC">
          <w:rPr>
            <w:noProof/>
            <w:webHidden/>
          </w:rPr>
          <w:t>59</w:t>
        </w:r>
        <w:r w:rsidR="00B44F78">
          <w:rPr>
            <w:noProof/>
            <w:webHidden/>
          </w:rPr>
          <w:fldChar w:fldCharType="end"/>
        </w:r>
      </w:hyperlink>
    </w:p>
    <w:p w14:paraId="728AB36E" w14:textId="15ED5C19" w:rsidR="00B44F78" w:rsidRDefault="0057723E">
      <w:pPr>
        <w:pStyle w:val="TOC1"/>
        <w:rPr>
          <w:rFonts w:asciiTheme="minorHAnsi" w:eastAsiaTheme="minorEastAsia" w:hAnsiTheme="minorHAnsi" w:cstheme="minorBidi"/>
          <w:b w:val="0"/>
          <w:caps w:val="0"/>
          <w:noProof/>
          <w:color w:val="auto"/>
          <w:sz w:val="22"/>
          <w:szCs w:val="22"/>
          <w:lang w:eastAsia="en-US"/>
        </w:rPr>
      </w:pPr>
      <w:hyperlink w:anchor="_Toc65741457" w:history="1">
        <w:r w:rsidR="00B44F78" w:rsidRPr="00AC1439">
          <w:rPr>
            <w:rStyle w:val="Hyperlink"/>
          </w:rPr>
          <w:t>net – handbook 133</w:t>
        </w:r>
        <w:r w:rsidR="00B44F78">
          <w:rPr>
            <w:noProof/>
            <w:webHidden/>
          </w:rPr>
          <w:tab/>
        </w:r>
        <w:r w:rsidR="00D743BB">
          <w:rPr>
            <w:noProof/>
            <w:webHidden/>
          </w:rPr>
          <w:tab/>
        </w:r>
        <w:r w:rsidR="00B44F78">
          <w:rPr>
            <w:noProof/>
            <w:webHidden/>
          </w:rPr>
          <w:fldChar w:fldCharType="begin"/>
        </w:r>
        <w:r w:rsidR="00B44F78">
          <w:rPr>
            <w:noProof/>
            <w:webHidden/>
          </w:rPr>
          <w:instrText xml:space="preserve"> PAGEREF _Toc65741457 \h </w:instrText>
        </w:r>
        <w:r w:rsidR="00B44F78">
          <w:rPr>
            <w:noProof/>
            <w:webHidden/>
          </w:rPr>
        </w:r>
        <w:r w:rsidR="00B44F78">
          <w:rPr>
            <w:noProof/>
            <w:webHidden/>
          </w:rPr>
          <w:fldChar w:fldCharType="separate"/>
        </w:r>
        <w:r w:rsidR="00392DBC">
          <w:rPr>
            <w:noProof/>
            <w:webHidden/>
          </w:rPr>
          <w:t>61</w:t>
        </w:r>
        <w:r w:rsidR="00B44F78">
          <w:rPr>
            <w:noProof/>
            <w:webHidden/>
          </w:rPr>
          <w:fldChar w:fldCharType="end"/>
        </w:r>
      </w:hyperlink>
    </w:p>
    <w:p w14:paraId="4E12863C" w14:textId="7CAC75F4" w:rsidR="00B44F78" w:rsidRDefault="0057723E">
      <w:pPr>
        <w:pStyle w:val="TOC2"/>
        <w:rPr>
          <w:rFonts w:asciiTheme="minorHAnsi" w:eastAsiaTheme="minorEastAsia" w:hAnsiTheme="minorHAnsi" w:cstheme="minorBidi"/>
          <w:noProof/>
          <w:color w:val="auto"/>
          <w:sz w:val="22"/>
          <w:lang w:eastAsia="en-US"/>
        </w:rPr>
      </w:pPr>
      <w:hyperlink w:anchor="_Toc65741458" w:history="1">
        <w:r w:rsidR="00B44F78" w:rsidRPr="00AC1439">
          <w:rPr>
            <w:rStyle w:val="Hyperlink"/>
          </w:rPr>
          <w:t>NET-16.1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3.X. Recognize the Use of Digital Density Meters</w:t>
        </w:r>
        <w:r w:rsidR="00B44F78">
          <w:rPr>
            <w:noProof/>
            <w:webHidden/>
          </w:rPr>
          <w:tab/>
        </w:r>
        <w:r w:rsidR="00B44F78">
          <w:rPr>
            <w:noProof/>
            <w:webHidden/>
          </w:rPr>
          <w:fldChar w:fldCharType="begin"/>
        </w:r>
        <w:r w:rsidR="00B44F78">
          <w:rPr>
            <w:noProof/>
            <w:webHidden/>
          </w:rPr>
          <w:instrText xml:space="preserve"> PAGEREF _Toc65741458 \h </w:instrText>
        </w:r>
        <w:r w:rsidR="00B44F78">
          <w:rPr>
            <w:noProof/>
            <w:webHidden/>
          </w:rPr>
        </w:r>
        <w:r w:rsidR="00B44F78">
          <w:rPr>
            <w:noProof/>
            <w:webHidden/>
          </w:rPr>
          <w:fldChar w:fldCharType="separate"/>
        </w:r>
        <w:r w:rsidR="00392DBC">
          <w:rPr>
            <w:noProof/>
            <w:webHidden/>
          </w:rPr>
          <w:t>61</w:t>
        </w:r>
        <w:r w:rsidR="00B44F78">
          <w:rPr>
            <w:noProof/>
            <w:webHidden/>
          </w:rPr>
          <w:fldChar w:fldCharType="end"/>
        </w:r>
      </w:hyperlink>
    </w:p>
    <w:p w14:paraId="37B49A2B" w14:textId="563AF587" w:rsidR="00B44F78" w:rsidRDefault="0057723E">
      <w:pPr>
        <w:pStyle w:val="TOC2"/>
        <w:rPr>
          <w:rFonts w:asciiTheme="minorHAnsi" w:eastAsiaTheme="minorEastAsia" w:hAnsiTheme="minorHAnsi" w:cstheme="minorBidi"/>
          <w:noProof/>
          <w:color w:val="auto"/>
          <w:sz w:val="22"/>
          <w:lang w:eastAsia="en-US"/>
        </w:rPr>
      </w:pPr>
      <w:hyperlink w:anchor="_Toc65741459" w:history="1">
        <w:r w:rsidR="00B44F78" w:rsidRPr="00AC1439">
          <w:rPr>
            <w:rStyle w:val="Hyperlink"/>
          </w:rPr>
          <w:t>NET-20.2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D </w:t>
        </w:r>
        <w:r w:rsidR="00D743BB">
          <w:rPr>
            <w:rStyle w:val="Hyperlink"/>
          </w:rPr>
          <w:tab/>
        </w:r>
        <w:r w:rsidR="00B44F78" w:rsidRPr="00AC1439">
          <w:rPr>
            <w:rStyle w:val="Hyperlink"/>
          </w:rPr>
          <w:t>Section 4.5. Polyethylene Sheeting, Bags and Liners.</w:t>
        </w:r>
        <w:r w:rsidR="00B44F78">
          <w:rPr>
            <w:noProof/>
            <w:webHidden/>
          </w:rPr>
          <w:tab/>
        </w:r>
        <w:r w:rsidR="00B44F78">
          <w:rPr>
            <w:noProof/>
            <w:webHidden/>
          </w:rPr>
          <w:fldChar w:fldCharType="begin"/>
        </w:r>
        <w:r w:rsidR="00B44F78">
          <w:rPr>
            <w:noProof/>
            <w:webHidden/>
          </w:rPr>
          <w:instrText xml:space="preserve"> PAGEREF _Toc65741459 \h </w:instrText>
        </w:r>
        <w:r w:rsidR="00B44F78">
          <w:rPr>
            <w:noProof/>
            <w:webHidden/>
          </w:rPr>
        </w:r>
        <w:r w:rsidR="00B44F78">
          <w:rPr>
            <w:noProof/>
            <w:webHidden/>
          </w:rPr>
          <w:fldChar w:fldCharType="separate"/>
        </w:r>
        <w:r w:rsidR="00392DBC">
          <w:rPr>
            <w:noProof/>
            <w:webHidden/>
          </w:rPr>
          <w:t>70</w:t>
        </w:r>
        <w:r w:rsidR="00B44F78">
          <w:rPr>
            <w:noProof/>
            <w:webHidden/>
          </w:rPr>
          <w:fldChar w:fldCharType="end"/>
        </w:r>
      </w:hyperlink>
    </w:p>
    <w:p w14:paraId="268B2C74" w14:textId="6772B875" w:rsidR="00B44F78" w:rsidRDefault="0057723E">
      <w:pPr>
        <w:pStyle w:val="TOC1"/>
        <w:rPr>
          <w:rFonts w:asciiTheme="minorHAnsi" w:eastAsiaTheme="minorEastAsia" w:hAnsiTheme="minorHAnsi" w:cstheme="minorBidi"/>
          <w:b w:val="0"/>
          <w:caps w:val="0"/>
          <w:noProof/>
          <w:color w:val="auto"/>
          <w:sz w:val="22"/>
          <w:szCs w:val="22"/>
          <w:lang w:eastAsia="en-US"/>
        </w:rPr>
      </w:pPr>
      <w:hyperlink w:anchor="_Toc65741460" w:history="1">
        <w:r w:rsidR="00B44F78" w:rsidRPr="00AC1439">
          <w:rPr>
            <w:rStyle w:val="Hyperlink"/>
          </w:rPr>
          <w:t>OTH – OTHER ITEMS</w:t>
        </w:r>
        <w:r w:rsidR="00B44F78">
          <w:rPr>
            <w:noProof/>
            <w:webHidden/>
          </w:rPr>
          <w:tab/>
        </w:r>
        <w:r w:rsidR="00D743BB">
          <w:rPr>
            <w:noProof/>
            <w:webHidden/>
          </w:rPr>
          <w:tab/>
        </w:r>
        <w:r w:rsidR="00B44F78">
          <w:rPr>
            <w:noProof/>
            <w:webHidden/>
          </w:rPr>
          <w:fldChar w:fldCharType="begin"/>
        </w:r>
        <w:r w:rsidR="00B44F78">
          <w:rPr>
            <w:noProof/>
            <w:webHidden/>
          </w:rPr>
          <w:instrText xml:space="preserve"> PAGEREF _Toc65741460 \h </w:instrText>
        </w:r>
        <w:r w:rsidR="00B44F78">
          <w:rPr>
            <w:noProof/>
            <w:webHidden/>
          </w:rPr>
        </w:r>
        <w:r w:rsidR="00B44F78">
          <w:rPr>
            <w:noProof/>
            <w:webHidden/>
          </w:rPr>
          <w:fldChar w:fldCharType="separate"/>
        </w:r>
        <w:r w:rsidR="00392DBC">
          <w:rPr>
            <w:noProof/>
            <w:webHidden/>
          </w:rPr>
          <w:t>74</w:t>
        </w:r>
        <w:r w:rsidR="00B44F78">
          <w:rPr>
            <w:noProof/>
            <w:webHidden/>
          </w:rPr>
          <w:fldChar w:fldCharType="end"/>
        </w:r>
      </w:hyperlink>
    </w:p>
    <w:p w14:paraId="443526E5" w14:textId="2F291F23" w:rsidR="00B44F78" w:rsidRDefault="0057723E">
      <w:pPr>
        <w:pStyle w:val="TOC2"/>
        <w:rPr>
          <w:rFonts w:asciiTheme="minorHAnsi" w:eastAsiaTheme="minorEastAsia" w:hAnsiTheme="minorHAnsi" w:cstheme="minorBidi"/>
          <w:noProof/>
          <w:color w:val="auto"/>
          <w:sz w:val="22"/>
          <w:lang w:eastAsia="en-US"/>
        </w:rPr>
      </w:pPr>
      <w:hyperlink w:anchor="_Toc65741461" w:history="1">
        <w:r w:rsidR="00B44F78" w:rsidRPr="00AC1439">
          <w:rPr>
            <w:rStyle w:val="Hyperlink"/>
          </w:rPr>
          <w:t>OTH-07.1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D </w:t>
        </w:r>
        <w:r w:rsidR="00D743BB">
          <w:rPr>
            <w:rStyle w:val="Hyperlink"/>
          </w:rPr>
          <w:tab/>
        </w:r>
        <w:r w:rsidR="00B44F78" w:rsidRPr="00AC1439">
          <w:rPr>
            <w:rStyle w:val="Hyperlink"/>
          </w:rPr>
          <w:t>Fuels and Lubricants Subcommittee</w:t>
        </w:r>
        <w:r w:rsidR="00B44F78">
          <w:rPr>
            <w:noProof/>
            <w:webHidden/>
          </w:rPr>
          <w:tab/>
        </w:r>
        <w:r w:rsidR="00B44F78">
          <w:rPr>
            <w:noProof/>
            <w:webHidden/>
          </w:rPr>
          <w:fldChar w:fldCharType="begin"/>
        </w:r>
        <w:r w:rsidR="00B44F78">
          <w:rPr>
            <w:noProof/>
            <w:webHidden/>
          </w:rPr>
          <w:instrText xml:space="preserve"> PAGEREF _Toc65741461 \h </w:instrText>
        </w:r>
        <w:r w:rsidR="00B44F78">
          <w:rPr>
            <w:noProof/>
            <w:webHidden/>
          </w:rPr>
        </w:r>
        <w:r w:rsidR="00B44F78">
          <w:rPr>
            <w:noProof/>
            <w:webHidden/>
          </w:rPr>
          <w:fldChar w:fldCharType="separate"/>
        </w:r>
        <w:r w:rsidR="00392DBC">
          <w:rPr>
            <w:noProof/>
            <w:webHidden/>
          </w:rPr>
          <w:t>74</w:t>
        </w:r>
        <w:r w:rsidR="00B44F78">
          <w:rPr>
            <w:noProof/>
            <w:webHidden/>
          </w:rPr>
          <w:fldChar w:fldCharType="end"/>
        </w:r>
      </w:hyperlink>
    </w:p>
    <w:p w14:paraId="46220757" w14:textId="20D951A5" w:rsidR="00B44F78" w:rsidRDefault="0057723E">
      <w:pPr>
        <w:pStyle w:val="TOC2"/>
        <w:rPr>
          <w:rFonts w:asciiTheme="minorHAnsi" w:eastAsiaTheme="minorEastAsia" w:hAnsiTheme="minorHAnsi" w:cstheme="minorBidi"/>
          <w:noProof/>
          <w:color w:val="auto"/>
          <w:sz w:val="22"/>
          <w:lang w:eastAsia="en-US"/>
        </w:rPr>
      </w:pPr>
      <w:hyperlink w:anchor="_Toc65741462" w:history="1">
        <w:r w:rsidR="00B44F78" w:rsidRPr="00AC1439">
          <w:rPr>
            <w:rStyle w:val="Hyperlink"/>
          </w:rPr>
          <w:t>OTH-11.1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D </w:t>
        </w:r>
        <w:r w:rsidR="00D743BB">
          <w:rPr>
            <w:rStyle w:val="Hyperlink"/>
          </w:rPr>
          <w:tab/>
        </w:r>
        <w:r w:rsidR="00B44F78" w:rsidRPr="00AC1439">
          <w:rPr>
            <w:rStyle w:val="Hyperlink"/>
          </w:rPr>
          <w:t>Packaging and Labeling Subcommittee</w:t>
        </w:r>
        <w:r w:rsidR="00B44F78">
          <w:rPr>
            <w:noProof/>
            <w:webHidden/>
          </w:rPr>
          <w:tab/>
        </w:r>
        <w:r w:rsidR="00B44F78">
          <w:rPr>
            <w:noProof/>
            <w:webHidden/>
          </w:rPr>
          <w:fldChar w:fldCharType="begin"/>
        </w:r>
        <w:r w:rsidR="00B44F78">
          <w:rPr>
            <w:noProof/>
            <w:webHidden/>
          </w:rPr>
          <w:instrText xml:space="preserve"> PAGEREF _Toc65741462 \h </w:instrText>
        </w:r>
        <w:r w:rsidR="00B44F78">
          <w:rPr>
            <w:noProof/>
            <w:webHidden/>
          </w:rPr>
        </w:r>
        <w:r w:rsidR="00B44F78">
          <w:rPr>
            <w:noProof/>
            <w:webHidden/>
          </w:rPr>
          <w:fldChar w:fldCharType="separate"/>
        </w:r>
        <w:r w:rsidR="00392DBC">
          <w:rPr>
            <w:noProof/>
            <w:webHidden/>
          </w:rPr>
          <w:t>76</w:t>
        </w:r>
        <w:r w:rsidR="00B44F78">
          <w:rPr>
            <w:noProof/>
            <w:webHidden/>
          </w:rPr>
          <w:fldChar w:fldCharType="end"/>
        </w:r>
      </w:hyperlink>
    </w:p>
    <w:p w14:paraId="3FD01391" w14:textId="228080E1" w:rsidR="004E320F" w:rsidRPr="00281428" w:rsidRDefault="00214C38" w:rsidP="000803DF">
      <w:pPr>
        <w:suppressLineNumbers/>
        <w:pBdr>
          <w:top w:val="single" w:sz="12" w:space="0" w:color="auto"/>
          <w:bottom w:val="single" w:sz="12" w:space="1" w:color="auto"/>
        </w:pBdr>
        <w:tabs>
          <w:tab w:val="left" w:pos="1440"/>
        </w:tabs>
        <w:spacing w:before="360"/>
        <w:rPr>
          <w:rStyle w:val="Hyperlink"/>
          <w:b/>
          <w:color w:val="auto"/>
          <w:u w:val="none"/>
        </w:rPr>
      </w:pPr>
      <w:r w:rsidRPr="00281428">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bookmarkStart w:id="7" w:name="_Hlk522695263"/>
          <w:p w14:paraId="5FAAEB3B" w14:textId="67D15E01" w:rsidR="008D2EE6" w:rsidRPr="00281428" w:rsidRDefault="008D2EE6" w:rsidP="000803DF">
            <w:pPr>
              <w:pStyle w:val="TableHeading"/>
              <w:suppressLineNumbers/>
              <w:ind w:left="-220"/>
            </w:pPr>
            <w:r w:rsidRPr="00281428">
              <w:fldChar w:fldCharType="begin"/>
            </w:r>
            <w:r w:rsidRPr="00281428">
              <w:instrText xml:space="preserve"> TOC \o "1-1" \h \z \t "Appendix Heading,3,Item Heading,2,Roman Item Heading,4" </w:instrText>
            </w:r>
            <w:r w:rsidRPr="00281428">
              <w:fldChar w:fldCharType="end"/>
            </w:r>
            <w:r w:rsidRPr="00281428">
              <w:br w:type="page"/>
            </w:r>
            <w:r w:rsidRPr="00281428">
              <w:rPr>
                <w:noProof/>
              </w:rPr>
              <w:br w:type="page"/>
            </w:r>
            <w:r w:rsidRPr="00281428">
              <w:t xml:space="preserve">Table </w:t>
            </w:r>
            <w:r w:rsidR="005E25F3" w:rsidRPr="00281428">
              <w:t>B</w:t>
            </w:r>
            <w:r w:rsidRPr="00281428">
              <w:br/>
              <w:t>Glossary of Acronyms and Terms</w:t>
            </w:r>
          </w:p>
        </w:tc>
      </w:tr>
      <w:bookmarkEnd w:id="7"/>
    </w:tbl>
    <w:p w14:paraId="4E0C86CA" w14:textId="77777777" w:rsidR="008D2EE6" w:rsidRPr="00281428" w:rsidRDefault="008D2EE6" w:rsidP="000803DF">
      <w:pPr>
        <w:keepNext/>
        <w:keepLines/>
        <w:suppressLineNumbers/>
        <w:spacing w:after="0"/>
        <w:ind w:left="252"/>
        <w:rPr>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394"/>
        <w:gridCol w:w="3258"/>
        <w:gridCol w:w="1583"/>
        <w:gridCol w:w="3305"/>
      </w:tblGrid>
      <w:tr w:rsidR="000813DF" w:rsidRPr="00281428" w14:paraId="051C6CA0" w14:textId="77777777" w:rsidTr="000813DF">
        <w:trPr>
          <w:trHeight w:val="260"/>
          <w:jc w:val="center"/>
        </w:trPr>
        <w:tc>
          <w:tcPr>
            <w:tcW w:w="1394" w:type="dxa"/>
            <w:vAlign w:val="center"/>
          </w:tcPr>
          <w:p w14:paraId="1759E03B" w14:textId="77777777" w:rsidR="000813DF" w:rsidRPr="00281428" w:rsidRDefault="000813DF" w:rsidP="005274A0">
            <w:pPr>
              <w:pStyle w:val="TableColumnHeadings"/>
              <w:jc w:val="left"/>
            </w:pPr>
            <w:bookmarkStart w:id="8" w:name="_Hlk31977869"/>
            <w:r w:rsidRPr="00281428">
              <w:t>Acronym</w:t>
            </w:r>
          </w:p>
        </w:tc>
        <w:tc>
          <w:tcPr>
            <w:tcW w:w="3258" w:type="dxa"/>
            <w:vAlign w:val="center"/>
          </w:tcPr>
          <w:p w14:paraId="6DFBF1CD" w14:textId="77777777" w:rsidR="000813DF" w:rsidRPr="00281428" w:rsidRDefault="000813DF" w:rsidP="005274A0">
            <w:pPr>
              <w:pStyle w:val="TableColumnHeadings"/>
              <w:jc w:val="left"/>
            </w:pPr>
            <w:r w:rsidRPr="00281428">
              <w:t>Term</w:t>
            </w:r>
          </w:p>
        </w:tc>
        <w:tc>
          <w:tcPr>
            <w:tcW w:w="1583" w:type="dxa"/>
            <w:vAlign w:val="center"/>
          </w:tcPr>
          <w:p w14:paraId="7578326A" w14:textId="77777777" w:rsidR="000813DF" w:rsidRPr="00281428" w:rsidRDefault="000813DF" w:rsidP="005274A0">
            <w:pPr>
              <w:pStyle w:val="TableColumnHeadings"/>
              <w:jc w:val="left"/>
            </w:pPr>
            <w:r w:rsidRPr="00281428">
              <w:t>Acronym</w:t>
            </w:r>
          </w:p>
        </w:tc>
        <w:tc>
          <w:tcPr>
            <w:tcW w:w="3305" w:type="dxa"/>
            <w:vAlign w:val="center"/>
          </w:tcPr>
          <w:p w14:paraId="1F3310E9" w14:textId="77777777" w:rsidR="000813DF" w:rsidRPr="00281428" w:rsidRDefault="000813DF" w:rsidP="005274A0">
            <w:pPr>
              <w:pStyle w:val="TableColumnHeadings"/>
              <w:jc w:val="left"/>
            </w:pPr>
            <w:r w:rsidRPr="00281428">
              <w:t>Term</w:t>
            </w:r>
          </w:p>
        </w:tc>
      </w:tr>
      <w:tr w:rsidR="00E70D8F" w:rsidRPr="00281428" w14:paraId="7731DD3C" w14:textId="77777777" w:rsidTr="000813DF">
        <w:trPr>
          <w:trHeight w:val="460"/>
          <w:jc w:val="center"/>
        </w:trPr>
        <w:tc>
          <w:tcPr>
            <w:tcW w:w="1394" w:type="dxa"/>
            <w:vAlign w:val="center"/>
          </w:tcPr>
          <w:p w14:paraId="08791654" w14:textId="523B9AB0" w:rsidR="00E70D8F" w:rsidRPr="00281428" w:rsidRDefault="00E70D8F" w:rsidP="00E70D8F">
            <w:pPr>
              <w:pStyle w:val="TableText"/>
              <w:keepNext/>
              <w:keepLines/>
            </w:pPr>
            <w:r w:rsidRPr="00281428">
              <w:t>ACEA</w:t>
            </w:r>
          </w:p>
        </w:tc>
        <w:tc>
          <w:tcPr>
            <w:tcW w:w="3258" w:type="dxa"/>
            <w:vAlign w:val="center"/>
          </w:tcPr>
          <w:p w14:paraId="285A39D5" w14:textId="3B44D8BB" w:rsidR="00E70D8F" w:rsidRPr="00281428" w:rsidRDefault="00E70D8F" w:rsidP="00E70D8F">
            <w:pPr>
              <w:pStyle w:val="TableText"/>
              <w:keepNext/>
              <w:keepLines/>
            </w:pPr>
            <w:r w:rsidRPr="00281428">
              <w:t>European Automotive Manufacturer Standards</w:t>
            </w:r>
          </w:p>
        </w:tc>
        <w:tc>
          <w:tcPr>
            <w:tcW w:w="1583" w:type="dxa"/>
            <w:vAlign w:val="center"/>
          </w:tcPr>
          <w:p w14:paraId="28696564" w14:textId="1B297105" w:rsidR="00E70D8F" w:rsidRPr="00281428" w:rsidRDefault="00E70D8F" w:rsidP="00E70D8F">
            <w:pPr>
              <w:pStyle w:val="TableText"/>
              <w:keepNext/>
              <w:keepLines/>
            </w:pPr>
            <w:r w:rsidRPr="00281428">
              <w:t>NEWMA</w:t>
            </w:r>
          </w:p>
        </w:tc>
        <w:tc>
          <w:tcPr>
            <w:tcW w:w="3305" w:type="dxa"/>
            <w:vAlign w:val="center"/>
          </w:tcPr>
          <w:p w14:paraId="6E636BF7" w14:textId="1FE19A25" w:rsidR="00E70D8F" w:rsidRPr="00281428" w:rsidRDefault="00E70D8F" w:rsidP="00E70D8F">
            <w:pPr>
              <w:pStyle w:val="TableText"/>
              <w:keepNext/>
              <w:keepLines/>
            </w:pPr>
            <w:r w:rsidRPr="00281428">
              <w:t>Northeastern Weights and Measures Association</w:t>
            </w:r>
          </w:p>
        </w:tc>
      </w:tr>
      <w:tr w:rsidR="00E70D8F" w:rsidRPr="00281428" w14:paraId="09A17194" w14:textId="77777777" w:rsidTr="000813DF">
        <w:trPr>
          <w:trHeight w:val="460"/>
          <w:jc w:val="center"/>
        </w:trPr>
        <w:tc>
          <w:tcPr>
            <w:tcW w:w="1394" w:type="dxa"/>
            <w:vAlign w:val="center"/>
          </w:tcPr>
          <w:p w14:paraId="2E7FEF85" w14:textId="77777777" w:rsidR="00E70D8F" w:rsidRPr="00281428" w:rsidRDefault="00E70D8F" w:rsidP="00E70D8F">
            <w:pPr>
              <w:pStyle w:val="TableText"/>
              <w:keepNext/>
              <w:keepLines/>
            </w:pPr>
            <w:r w:rsidRPr="00281428">
              <w:t>ASTM</w:t>
            </w:r>
          </w:p>
        </w:tc>
        <w:tc>
          <w:tcPr>
            <w:tcW w:w="3258" w:type="dxa"/>
            <w:vAlign w:val="center"/>
          </w:tcPr>
          <w:p w14:paraId="7D14A066" w14:textId="77777777" w:rsidR="00E70D8F" w:rsidRPr="00281428" w:rsidRDefault="00E70D8F" w:rsidP="00E70D8F">
            <w:pPr>
              <w:pStyle w:val="TableText"/>
              <w:keepNext/>
              <w:keepLines/>
            </w:pPr>
            <w:r w:rsidRPr="00281428">
              <w:t>ASTM International</w:t>
            </w:r>
          </w:p>
        </w:tc>
        <w:tc>
          <w:tcPr>
            <w:tcW w:w="1583" w:type="dxa"/>
            <w:vAlign w:val="center"/>
          </w:tcPr>
          <w:p w14:paraId="1B5A5627" w14:textId="25735B0B" w:rsidR="00E70D8F" w:rsidRPr="00281428" w:rsidRDefault="00E70D8F" w:rsidP="00E70D8F">
            <w:pPr>
              <w:pStyle w:val="TableText"/>
              <w:keepNext/>
              <w:keepLines/>
            </w:pPr>
            <w:r w:rsidRPr="00281428">
              <w:t>NIST</w:t>
            </w:r>
          </w:p>
        </w:tc>
        <w:tc>
          <w:tcPr>
            <w:tcW w:w="3305" w:type="dxa"/>
            <w:vAlign w:val="center"/>
          </w:tcPr>
          <w:p w14:paraId="73A7DBA0" w14:textId="07AE773C" w:rsidR="00E70D8F" w:rsidRPr="00281428" w:rsidRDefault="00E70D8F" w:rsidP="00E70D8F">
            <w:pPr>
              <w:pStyle w:val="TableText"/>
              <w:keepNext/>
              <w:keepLines/>
            </w:pPr>
            <w:r w:rsidRPr="00281428">
              <w:t>National Institute of Standards and Technology</w:t>
            </w:r>
          </w:p>
        </w:tc>
      </w:tr>
      <w:tr w:rsidR="00E70D8F" w:rsidRPr="00281428" w14:paraId="7A7A9D2A" w14:textId="77777777" w:rsidTr="000813DF">
        <w:trPr>
          <w:trHeight w:val="460"/>
          <w:jc w:val="center"/>
        </w:trPr>
        <w:tc>
          <w:tcPr>
            <w:tcW w:w="1394" w:type="dxa"/>
            <w:vAlign w:val="center"/>
          </w:tcPr>
          <w:p w14:paraId="118EF656" w14:textId="77777777" w:rsidR="00E70D8F" w:rsidRPr="00281428" w:rsidRDefault="00E70D8F" w:rsidP="00E70D8F">
            <w:pPr>
              <w:pStyle w:val="TableText"/>
              <w:keepNext/>
              <w:keepLines/>
            </w:pPr>
            <w:r w:rsidRPr="00281428">
              <w:t>API</w:t>
            </w:r>
          </w:p>
        </w:tc>
        <w:tc>
          <w:tcPr>
            <w:tcW w:w="3258" w:type="dxa"/>
            <w:vAlign w:val="center"/>
          </w:tcPr>
          <w:p w14:paraId="348D043B" w14:textId="77777777" w:rsidR="00E70D8F" w:rsidRPr="00281428" w:rsidRDefault="00E70D8F" w:rsidP="00E70D8F">
            <w:pPr>
              <w:pStyle w:val="TableText"/>
              <w:keepNext/>
              <w:keepLines/>
            </w:pPr>
            <w:r w:rsidRPr="00281428">
              <w:t>American Petroleum Institute</w:t>
            </w:r>
          </w:p>
        </w:tc>
        <w:tc>
          <w:tcPr>
            <w:tcW w:w="1583" w:type="dxa"/>
            <w:vAlign w:val="center"/>
          </w:tcPr>
          <w:p w14:paraId="20E80DBF" w14:textId="3DD4B7E0" w:rsidR="00E70D8F" w:rsidRPr="00281428" w:rsidRDefault="00E70D8F" w:rsidP="00E70D8F">
            <w:pPr>
              <w:pStyle w:val="TableText"/>
              <w:keepNext/>
              <w:keepLines/>
            </w:pPr>
            <w:r w:rsidRPr="00281428">
              <w:t>NCWM</w:t>
            </w:r>
          </w:p>
        </w:tc>
        <w:tc>
          <w:tcPr>
            <w:tcW w:w="3305" w:type="dxa"/>
            <w:vAlign w:val="center"/>
          </w:tcPr>
          <w:p w14:paraId="016428B7" w14:textId="0F990D09" w:rsidR="00E70D8F" w:rsidRPr="00281428" w:rsidRDefault="00E70D8F" w:rsidP="00E70D8F">
            <w:pPr>
              <w:pStyle w:val="TableText"/>
              <w:keepNext/>
              <w:keepLines/>
            </w:pPr>
            <w:r w:rsidRPr="00281428">
              <w:t>National Conference on Weights and Measures</w:t>
            </w:r>
          </w:p>
        </w:tc>
      </w:tr>
      <w:tr w:rsidR="000813DF" w:rsidRPr="00281428" w14:paraId="7429FB84" w14:textId="77777777" w:rsidTr="000813DF">
        <w:trPr>
          <w:trHeight w:val="460"/>
          <w:jc w:val="center"/>
        </w:trPr>
        <w:tc>
          <w:tcPr>
            <w:tcW w:w="1394" w:type="dxa"/>
            <w:vAlign w:val="center"/>
          </w:tcPr>
          <w:p w14:paraId="4CEC464D" w14:textId="77777777" w:rsidR="000813DF" w:rsidRPr="00281428" w:rsidRDefault="000813DF" w:rsidP="005274A0">
            <w:pPr>
              <w:pStyle w:val="TableText"/>
              <w:keepNext/>
              <w:keepLines/>
            </w:pPr>
            <w:r w:rsidRPr="00281428">
              <w:t>CFR</w:t>
            </w:r>
          </w:p>
        </w:tc>
        <w:tc>
          <w:tcPr>
            <w:tcW w:w="3258" w:type="dxa"/>
            <w:vAlign w:val="center"/>
          </w:tcPr>
          <w:p w14:paraId="1F51C886" w14:textId="77777777" w:rsidR="000813DF" w:rsidRPr="00281428" w:rsidRDefault="000813DF" w:rsidP="005274A0">
            <w:pPr>
              <w:pStyle w:val="TableText"/>
              <w:keepNext/>
              <w:keepLines/>
            </w:pPr>
            <w:r w:rsidRPr="00281428">
              <w:t>Code of Federal Regulations</w:t>
            </w:r>
          </w:p>
        </w:tc>
        <w:tc>
          <w:tcPr>
            <w:tcW w:w="1583" w:type="dxa"/>
            <w:vAlign w:val="center"/>
          </w:tcPr>
          <w:p w14:paraId="1F867A46" w14:textId="77777777" w:rsidR="000813DF" w:rsidRPr="00281428" w:rsidRDefault="000813DF" w:rsidP="005274A0">
            <w:pPr>
              <w:pStyle w:val="TableText"/>
              <w:keepNext/>
              <w:keepLines/>
            </w:pPr>
            <w:r w:rsidRPr="00281428">
              <w:t>OWM</w:t>
            </w:r>
          </w:p>
        </w:tc>
        <w:tc>
          <w:tcPr>
            <w:tcW w:w="3305" w:type="dxa"/>
            <w:vAlign w:val="center"/>
          </w:tcPr>
          <w:p w14:paraId="050D8EBF" w14:textId="77777777" w:rsidR="000813DF" w:rsidRPr="00281428" w:rsidRDefault="000813DF" w:rsidP="005274A0">
            <w:pPr>
              <w:pStyle w:val="TableText"/>
              <w:keepNext/>
              <w:keepLines/>
            </w:pPr>
            <w:r w:rsidRPr="00281428">
              <w:t>Office of Weights and Measures</w:t>
            </w:r>
          </w:p>
        </w:tc>
      </w:tr>
      <w:tr w:rsidR="000813DF" w:rsidRPr="00281428" w14:paraId="01243983" w14:textId="77777777" w:rsidTr="000813DF">
        <w:trPr>
          <w:trHeight w:val="460"/>
          <w:jc w:val="center"/>
        </w:trPr>
        <w:tc>
          <w:tcPr>
            <w:tcW w:w="1394" w:type="dxa"/>
            <w:vAlign w:val="center"/>
          </w:tcPr>
          <w:p w14:paraId="09A2F7C2" w14:textId="77777777" w:rsidR="000813DF" w:rsidRPr="00281428" w:rsidRDefault="000813DF" w:rsidP="005274A0">
            <w:pPr>
              <w:pStyle w:val="TableText"/>
              <w:keepNext/>
              <w:keepLines/>
            </w:pPr>
            <w:r w:rsidRPr="00281428">
              <w:t>CWMA</w:t>
            </w:r>
          </w:p>
        </w:tc>
        <w:tc>
          <w:tcPr>
            <w:tcW w:w="3258" w:type="dxa"/>
            <w:vAlign w:val="center"/>
          </w:tcPr>
          <w:p w14:paraId="4C078A3E" w14:textId="77777777" w:rsidR="000813DF" w:rsidRPr="00281428" w:rsidRDefault="000813DF" w:rsidP="005274A0">
            <w:pPr>
              <w:pStyle w:val="TableText"/>
              <w:keepNext/>
              <w:keepLines/>
            </w:pPr>
            <w:r w:rsidRPr="00281428">
              <w:t>Central Weights and Measures Association</w:t>
            </w:r>
          </w:p>
        </w:tc>
        <w:tc>
          <w:tcPr>
            <w:tcW w:w="1583" w:type="dxa"/>
            <w:vAlign w:val="center"/>
          </w:tcPr>
          <w:p w14:paraId="584F5246" w14:textId="77777777" w:rsidR="000813DF" w:rsidRPr="00281428" w:rsidRDefault="000813DF" w:rsidP="005274A0">
            <w:pPr>
              <w:pStyle w:val="TableText"/>
              <w:keepNext/>
              <w:keepLines/>
            </w:pPr>
            <w:r w:rsidRPr="00281428">
              <w:t>PALS</w:t>
            </w:r>
          </w:p>
        </w:tc>
        <w:tc>
          <w:tcPr>
            <w:tcW w:w="3305" w:type="dxa"/>
            <w:vAlign w:val="center"/>
          </w:tcPr>
          <w:p w14:paraId="76143AE4" w14:textId="77777777" w:rsidR="000813DF" w:rsidRPr="00281428" w:rsidRDefault="000813DF" w:rsidP="005274A0">
            <w:pPr>
              <w:pStyle w:val="TableText"/>
              <w:keepNext/>
              <w:keepLines/>
            </w:pPr>
            <w:r w:rsidRPr="00281428">
              <w:t>Packaging and Labeling Subcommittee</w:t>
            </w:r>
          </w:p>
        </w:tc>
      </w:tr>
      <w:tr w:rsidR="000813DF" w:rsidRPr="00281428" w14:paraId="297F15D3" w14:textId="77777777" w:rsidTr="000813DF">
        <w:trPr>
          <w:trHeight w:val="460"/>
          <w:jc w:val="center"/>
        </w:trPr>
        <w:tc>
          <w:tcPr>
            <w:tcW w:w="1394" w:type="dxa"/>
            <w:vAlign w:val="center"/>
          </w:tcPr>
          <w:p w14:paraId="65BF13A8" w14:textId="77777777" w:rsidR="000813DF" w:rsidRPr="00281428" w:rsidRDefault="000813DF" w:rsidP="005274A0">
            <w:pPr>
              <w:pStyle w:val="TableText"/>
              <w:keepNext/>
              <w:keepLines/>
            </w:pPr>
            <w:r w:rsidRPr="00281428">
              <w:t>FALS</w:t>
            </w:r>
          </w:p>
        </w:tc>
        <w:tc>
          <w:tcPr>
            <w:tcW w:w="3258" w:type="dxa"/>
            <w:vAlign w:val="center"/>
          </w:tcPr>
          <w:p w14:paraId="6E61EF4B" w14:textId="77777777" w:rsidR="000813DF" w:rsidRPr="00281428" w:rsidRDefault="000813DF" w:rsidP="005274A0">
            <w:pPr>
              <w:pStyle w:val="TableText"/>
              <w:keepNext/>
              <w:keepLines/>
            </w:pPr>
            <w:r w:rsidRPr="00281428">
              <w:t>Fuels and Lubricants Subcommittee</w:t>
            </w:r>
          </w:p>
        </w:tc>
        <w:tc>
          <w:tcPr>
            <w:tcW w:w="1583" w:type="dxa"/>
            <w:vAlign w:val="center"/>
          </w:tcPr>
          <w:p w14:paraId="3E25FEB1" w14:textId="77777777" w:rsidR="000813DF" w:rsidRPr="00281428" w:rsidRDefault="000813DF" w:rsidP="005274A0">
            <w:pPr>
              <w:pStyle w:val="TableText"/>
              <w:keepNext/>
              <w:keepLines/>
            </w:pPr>
            <w:r w:rsidRPr="00281428">
              <w:t>S&amp;T</w:t>
            </w:r>
          </w:p>
        </w:tc>
        <w:tc>
          <w:tcPr>
            <w:tcW w:w="3305" w:type="dxa"/>
            <w:vAlign w:val="center"/>
          </w:tcPr>
          <w:p w14:paraId="52A89C40" w14:textId="77777777" w:rsidR="000813DF" w:rsidRPr="00281428" w:rsidRDefault="000813DF" w:rsidP="005274A0">
            <w:pPr>
              <w:pStyle w:val="TableText"/>
              <w:keepNext/>
              <w:keepLines/>
            </w:pPr>
            <w:r w:rsidRPr="00281428">
              <w:t>Specifications and Tolerances</w:t>
            </w:r>
          </w:p>
        </w:tc>
      </w:tr>
      <w:tr w:rsidR="000813DF" w:rsidRPr="00281428" w14:paraId="4F496D5F" w14:textId="77777777" w:rsidTr="000813DF">
        <w:trPr>
          <w:trHeight w:val="460"/>
          <w:jc w:val="center"/>
        </w:trPr>
        <w:tc>
          <w:tcPr>
            <w:tcW w:w="1394" w:type="dxa"/>
            <w:vAlign w:val="center"/>
          </w:tcPr>
          <w:p w14:paraId="0B74F993" w14:textId="77777777" w:rsidR="000813DF" w:rsidRPr="00281428" w:rsidRDefault="000813DF" w:rsidP="005274A0">
            <w:pPr>
              <w:pStyle w:val="TableText"/>
              <w:keepNext/>
              <w:keepLines/>
            </w:pPr>
            <w:r w:rsidRPr="00281428">
              <w:t>FDA</w:t>
            </w:r>
          </w:p>
        </w:tc>
        <w:tc>
          <w:tcPr>
            <w:tcW w:w="3258" w:type="dxa"/>
            <w:vAlign w:val="center"/>
          </w:tcPr>
          <w:p w14:paraId="21973F8A" w14:textId="77777777" w:rsidR="000813DF" w:rsidRPr="00281428" w:rsidRDefault="000813DF" w:rsidP="005274A0">
            <w:pPr>
              <w:pStyle w:val="TableText"/>
              <w:keepNext/>
              <w:keepLines/>
            </w:pPr>
            <w:r w:rsidRPr="00281428">
              <w:t>Food and Drug Administration</w:t>
            </w:r>
          </w:p>
        </w:tc>
        <w:tc>
          <w:tcPr>
            <w:tcW w:w="1583" w:type="dxa"/>
            <w:vAlign w:val="center"/>
          </w:tcPr>
          <w:p w14:paraId="426D6162" w14:textId="77777777" w:rsidR="000813DF" w:rsidRPr="00281428" w:rsidRDefault="000813DF" w:rsidP="005274A0">
            <w:pPr>
              <w:pStyle w:val="TableText"/>
              <w:keepNext/>
              <w:keepLines/>
            </w:pPr>
            <w:r w:rsidRPr="00281428">
              <w:t>SAE</w:t>
            </w:r>
          </w:p>
        </w:tc>
        <w:tc>
          <w:tcPr>
            <w:tcW w:w="3305" w:type="dxa"/>
            <w:vAlign w:val="center"/>
          </w:tcPr>
          <w:p w14:paraId="793DB4AE" w14:textId="77777777" w:rsidR="000813DF" w:rsidRPr="00281428" w:rsidRDefault="000813DF" w:rsidP="005274A0">
            <w:pPr>
              <w:pStyle w:val="TableText"/>
              <w:keepNext/>
              <w:keepLines/>
            </w:pPr>
            <w:r w:rsidRPr="00281428">
              <w:t xml:space="preserve">SAE International </w:t>
            </w:r>
          </w:p>
        </w:tc>
      </w:tr>
      <w:tr w:rsidR="00E70D8F" w:rsidRPr="00281428" w14:paraId="6D372C0A" w14:textId="77777777" w:rsidTr="000813DF">
        <w:trPr>
          <w:trHeight w:val="460"/>
          <w:jc w:val="center"/>
        </w:trPr>
        <w:tc>
          <w:tcPr>
            <w:tcW w:w="1394" w:type="dxa"/>
            <w:vAlign w:val="center"/>
          </w:tcPr>
          <w:p w14:paraId="4EF5C095" w14:textId="2864F63C" w:rsidR="00E70D8F" w:rsidRPr="00281428" w:rsidRDefault="00E70D8F" w:rsidP="00E70D8F">
            <w:pPr>
              <w:pStyle w:val="TableText"/>
            </w:pPr>
            <w:r w:rsidRPr="00281428">
              <w:t>FTC</w:t>
            </w:r>
          </w:p>
        </w:tc>
        <w:tc>
          <w:tcPr>
            <w:tcW w:w="3258" w:type="dxa"/>
            <w:vAlign w:val="center"/>
          </w:tcPr>
          <w:p w14:paraId="44EA039F" w14:textId="444735A3" w:rsidR="00E70D8F" w:rsidRPr="00281428" w:rsidRDefault="00E70D8F" w:rsidP="00E70D8F">
            <w:pPr>
              <w:pStyle w:val="TableText"/>
            </w:pPr>
            <w:r w:rsidRPr="00281428">
              <w:t>Federal Trade Commission</w:t>
            </w:r>
          </w:p>
        </w:tc>
        <w:tc>
          <w:tcPr>
            <w:tcW w:w="1583" w:type="dxa"/>
            <w:vAlign w:val="center"/>
          </w:tcPr>
          <w:p w14:paraId="6099CF64" w14:textId="77777777" w:rsidR="00E70D8F" w:rsidRPr="00281428" w:rsidRDefault="00E70D8F" w:rsidP="00E70D8F">
            <w:pPr>
              <w:pStyle w:val="TableText"/>
            </w:pPr>
            <w:r w:rsidRPr="00281428">
              <w:t>SWMA</w:t>
            </w:r>
          </w:p>
        </w:tc>
        <w:tc>
          <w:tcPr>
            <w:tcW w:w="3305" w:type="dxa"/>
            <w:vAlign w:val="center"/>
          </w:tcPr>
          <w:p w14:paraId="07B606FF" w14:textId="77777777" w:rsidR="00E70D8F" w:rsidRPr="00281428" w:rsidRDefault="00E70D8F" w:rsidP="00E70D8F">
            <w:pPr>
              <w:pStyle w:val="TableText"/>
            </w:pPr>
            <w:r w:rsidRPr="00281428">
              <w:t>Southern Weights and Measures Association</w:t>
            </w:r>
          </w:p>
        </w:tc>
      </w:tr>
      <w:tr w:rsidR="00E70D8F" w:rsidRPr="00281428" w14:paraId="585082DB" w14:textId="77777777" w:rsidTr="000813DF">
        <w:trPr>
          <w:trHeight w:val="460"/>
          <w:jc w:val="center"/>
        </w:trPr>
        <w:tc>
          <w:tcPr>
            <w:tcW w:w="1394" w:type="dxa"/>
            <w:vAlign w:val="center"/>
          </w:tcPr>
          <w:p w14:paraId="78A17FCE" w14:textId="7AE196E3" w:rsidR="00E70D8F" w:rsidRPr="00281428" w:rsidRDefault="00E70D8F" w:rsidP="00E70D8F">
            <w:pPr>
              <w:pStyle w:val="TableText"/>
            </w:pPr>
            <w:r w:rsidRPr="00281428">
              <w:t>HB</w:t>
            </w:r>
          </w:p>
        </w:tc>
        <w:tc>
          <w:tcPr>
            <w:tcW w:w="3258" w:type="dxa"/>
            <w:vAlign w:val="center"/>
          </w:tcPr>
          <w:p w14:paraId="66B0EB8F" w14:textId="3B667927" w:rsidR="00E70D8F" w:rsidRPr="00281428" w:rsidRDefault="00E70D8F" w:rsidP="00E70D8F">
            <w:pPr>
              <w:pStyle w:val="TableText"/>
            </w:pPr>
            <w:r w:rsidRPr="00281428">
              <w:t>Handbook</w:t>
            </w:r>
          </w:p>
        </w:tc>
        <w:tc>
          <w:tcPr>
            <w:tcW w:w="1583" w:type="dxa"/>
            <w:vAlign w:val="center"/>
          </w:tcPr>
          <w:p w14:paraId="2C49B22E" w14:textId="77777777" w:rsidR="00E70D8F" w:rsidRPr="00281428" w:rsidRDefault="00E70D8F" w:rsidP="00E70D8F">
            <w:pPr>
              <w:pStyle w:val="TableText"/>
            </w:pPr>
            <w:r w:rsidRPr="00281428">
              <w:t>UPLR</w:t>
            </w:r>
          </w:p>
        </w:tc>
        <w:tc>
          <w:tcPr>
            <w:tcW w:w="3305" w:type="dxa"/>
            <w:vAlign w:val="center"/>
          </w:tcPr>
          <w:p w14:paraId="22455166" w14:textId="77777777" w:rsidR="00E70D8F" w:rsidRPr="00281428" w:rsidRDefault="00E70D8F" w:rsidP="00E70D8F">
            <w:pPr>
              <w:pStyle w:val="TableText"/>
            </w:pPr>
            <w:r w:rsidRPr="00281428">
              <w:t>Uniform Packaging and Labeling Regulation</w:t>
            </w:r>
          </w:p>
        </w:tc>
      </w:tr>
      <w:tr w:rsidR="00E70D8F" w:rsidRPr="00281428" w14:paraId="4C2D61D8" w14:textId="77777777" w:rsidTr="000813DF">
        <w:trPr>
          <w:trHeight w:val="460"/>
          <w:jc w:val="center"/>
        </w:trPr>
        <w:tc>
          <w:tcPr>
            <w:tcW w:w="1394" w:type="dxa"/>
            <w:vAlign w:val="center"/>
          </w:tcPr>
          <w:p w14:paraId="5AB48C5D" w14:textId="65429C37" w:rsidR="00E70D8F" w:rsidRPr="00281428" w:rsidRDefault="00E70D8F" w:rsidP="00E70D8F">
            <w:pPr>
              <w:pStyle w:val="TableText"/>
            </w:pPr>
            <w:r w:rsidRPr="00281428">
              <w:t>ILMA</w:t>
            </w:r>
          </w:p>
        </w:tc>
        <w:tc>
          <w:tcPr>
            <w:tcW w:w="3258" w:type="dxa"/>
            <w:vAlign w:val="center"/>
          </w:tcPr>
          <w:p w14:paraId="5B79A373" w14:textId="476FDC05" w:rsidR="00E70D8F" w:rsidRPr="00281428" w:rsidRDefault="00E70D8F" w:rsidP="00E70D8F">
            <w:pPr>
              <w:pStyle w:val="TableText"/>
            </w:pPr>
            <w:r w:rsidRPr="00281428">
              <w:t>Independent Lubricant Manufacturers Association</w:t>
            </w:r>
          </w:p>
        </w:tc>
        <w:tc>
          <w:tcPr>
            <w:tcW w:w="1583" w:type="dxa"/>
            <w:vAlign w:val="center"/>
          </w:tcPr>
          <w:p w14:paraId="6480608C" w14:textId="6DE4AC9F" w:rsidR="00E70D8F" w:rsidRPr="00281428" w:rsidRDefault="00E70D8F" w:rsidP="00E70D8F">
            <w:pPr>
              <w:pStyle w:val="TableText"/>
            </w:pPr>
            <w:r w:rsidRPr="00281428">
              <w:t>USDA – FSIS</w:t>
            </w:r>
          </w:p>
        </w:tc>
        <w:tc>
          <w:tcPr>
            <w:tcW w:w="3305" w:type="dxa"/>
            <w:vAlign w:val="center"/>
          </w:tcPr>
          <w:p w14:paraId="2C04B8AC" w14:textId="0F8ACF0B" w:rsidR="00E70D8F" w:rsidRPr="00281428" w:rsidRDefault="00E70D8F" w:rsidP="00E70D8F">
            <w:pPr>
              <w:pStyle w:val="TableText"/>
            </w:pPr>
            <w:r w:rsidRPr="00281428">
              <w:t>U.S. Department of Agriculture – Food Safety and Inspection Service</w:t>
            </w:r>
          </w:p>
        </w:tc>
      </w:tr>
      <w:tr w:rsidR="00E70D8F" w:rsidRPr="00281428" w14:paraId="06C1DE4B" w14:textId="77777777" w:rsidTr="000813DF">
        <w:trPr>
          <w:trHeight w:val="460"/>
          <w:jc w:val="center"/>
        </w:trPr>
        <w:tc>
          <w:tcPr>
            <w:tcW w:w="1394" w:type="dxa"/>
            <w:vAlign w:val="center"/>
          </w:tcPr>
          <w:p w14:paraId="23B8EC5E" w14:textId="29589731" w:rsidR="00E70D8F" w:rsidRPr="00281428" w:rsidRDefault="00E70D8F" w:rsidP="00E70D8F">
            <w:pPr>
              <w:pStyle w:val="TableText"/>
            </w:pPr>
            <w:r w:rsidRPr="00281428">
              <w:t>L&amp;R</w:t>
            </w:r>
          </w:p>
        </w:tc>
        <w:tc>
          <w:tcPr>
            <w:tcW w:w="3258" w:type="dxa"/>
            <w:vAlign w:val="center"/>
          </w:tcPr>
          <w:p w14:paraId="08509FB4" w14:textId="46ACF171" w:rsidR="00E70D8F" w:rsidRPr="00281428" w:rsidRDefault="00E70D8F" w:rsidP="00E70D8F">
            <w:pPr>
              <w:pStyle w:val="TableText"/>
            </w:pPr>
            <w:r w:rsidRPr="00281428">
              <w:t>Laws and Regulations</w:t>
            </w:r>
          </w:p>
        </w:tc>
        <w:tc>
          <w:tcPr>
            <w:tcW w:w="1583" w:type="dxa"/>
            <w:vAlign w:val="center"/>
          </w:tcPr>
          <w:p w14:paraId="180B6FCB" w14:textId="77777777" w:rsidR="00E70D8F" w:rsidRPr="00281428" w:rsidRDefault="00E70D8F" w:rsidP="00E70D8F">
            <w:pPr>
              <w:pStyle w:val="TableText"/>
            </w:pPr>
            <w:r w:rsidRPr="00281428">
              <w:t>USNWG</w:t>
            </w:r>
          </w:p>
        </w:tc>
        <w:tc>
          <w:tcPr>
            <w:tcW w:w="3305" w:type="dxa"/>
            <w:vAlign w:val="center"/>
          </w:tcPr>
          <w:p w14:paraId="09CC8974" w14:textId="77777777" w:rsidR="00E70D8F" w:rsidRPr="00281428" w:rsidRDefault="00E70D8F" w:rsidP="00E70D8F">
            <w:pPr>
              <w:pStyle w:val="TableText"/>
            </w:pPr>
            <w:r w:rsidRPr="00281428">
              <w:t>U.S. National Work Group</w:t>
            </w:r>
          </w:p>
        </w:tc>
      </w:tr>
      <w:tr w:rsidR="00E70D8F" w:rsidRPr="00281428" w14:paraId="0C562FB2" w14:textId="77777777" w:rsidTr="000813DF">
        <w:trPr>
          <w:trHeight w:val="460"/>
          <w:jc w:val="center"/>
        </w:trPr>
        <w:tc>
          <w:tcPr>
            <w:tcW w:w="1394" w:type="dxa"/>
            <w:vAlign w:val="center"/>
          </w:tcPr>
          <w:p w14:paraId="56798ABB" w14:textId="73B75031" w:rsidR="00E70D8F" w:rsidRPr="00281428" w:rsidRDefault="00E70D8F" w:rsidP="00E70D8F">
            <w:pPr>
              <w:pStyle w:val="TableText"/>
            </w:pPr>
            <w:r w:rsidRPr="00281428">
              <w:t>LPG</w:t>
            </w:r>
          </w:p>
        </w:tc>
        <w:tc>
          <w:tcPr>
            <w:tcW w:w="3258" w:type="dxa"/>
            <w:vAlign w:val="center"/>
          </w:tcPr>
          <w:p w14:paraId="0FCC1D93" w14:textId="5A8C6754" w:rsidR="00E70D8F" w:rsidRPr="00281428" w:rsidRDefault="00E70D8F" w:rsidP="00E70D8F">
            <w:pPr>
              <w:pStyle w:val="TableText"/>
            </w:pPr>
            <w:r w:rsidRPr="00281428">
              <w:t>Liquefied Petroleum Gas</w:t>
            </w:r>
          </w:p>
        </w:tc>
        <w:tc>
          <w:tcPr>
            <w:tcW w:w="1583" w:type="dxa"/>
            <w:vAlign w:val="center"/>
          </w:tcPr>
          <w:p w14:paraId="24974AA0" w14:textId="77777777" w:rsidR="00E70D8F" w:rsidRPr="00281428" w:rsidRDefault="00E70D8F" w:rsidP="00E70D8F">
            <w:pPr>
              <w:pStyle w:val="TableText"/>
            </w:pPr>
            <w:r w:rsidRPr="00281428">
              <w:t>WWMA</w:t>
            </w:r>
          </w:p>
        </w:tc>
        <w:tc>
          <w:tcPr>
            <w:tcW w:w="3305" w:type="dxa"/>
            <w:vAlign w:val="center"/>
          </w:tcPr>
          <w:p w14:paraId="5B1694C5" w14:textId="77777777" w:rsidR="00E70D8F" w:rsidRPr="00281428" w:rsidRDefault="00E70D8F" w:rsidP="00E70D8F">
            <w:pPr>
              <w:pStyle w:val="TableText"/>
            </w:pPr>
            <w:r w:rsidRPr="00281428">
              <w:t>Western Weights and Measures Association</w:t>
            </w:r>
          </w:p>
        </w:tc>
      </w:tr>
      <w:tr w:rsidR="00D8178B" w:rsidRPr="00281428" w14:paraId="2CB46BB1" w14:textId="77777777" w:rsidTr="00D8178B">
        <w:trPr>
          <w:trHeight w:val="460"/>
          <w:jc w:val="center"/>
        </w:trPr>
        <w:tc>
          <w:tcPr>
            <w:tcW w:w="1394" w:type="dxa"/>
            <w:vAlign w:val="center"/>
          </w:tcPr>
          <w:p w14:paraId="44739B01" w14:textId="17AC505D" w:rsidR="00D8178B" w:rsidRPr="00281428" w:rsidRDefault="00D8178B" w:rsidP="002F0196">
            <w:pPr>
              <w:pStyle w:val="TableText"/>
            </w:pPr>
            <w:r w:rsidRPr="00281428">
              <w:t>MAV</w:t>
            </w:r>
          </w:p>
        </w:tc>
        <w:tc>
          <w:tcPr>
            <w:tcW w:w="3258" w:type="dxa"/>
            <w:vAlign w:val="center"/>
          </w:tcPr>
          <w:p w14:paraId="220E569F" w14:textId="63109411" w:rsidR="00D8178B" w:rsidRPr="00281428" w:rsidRDefault="00D8178B" w:rsidP="002F0196">
            <w:pPr>
              <w:pStyle w:val="TableText"/>
            </w:pPr>
            <w:r w:rsidRPr="00281428">
              <w:t>Maximum Allowable Variation</w:t>
            </w:r>
          </w:p>
        </w:tc>
        <w:tc>
          <w:tcPr>
            <w:tcW w:w="4888" w:type="dxa"/>
            <w:gridSpan w:val="2"/>
            <w:shd w:val="clear" w:color="auto" w:fill="D9D9D9" w:themeFill="background1" w:themeFillShade="D9"/>
            <w:vAlign w:val="center"/>
          </w:tcPr>
          <w:p w14:paraId="649113E0" w14:textId="77777777" w:rsidR="00D8178B" w:rsidRPr="00281428" w:rsidRDefault="00D8178B" w:rsidP="002F0196">
            <w:pPr>
              <w:pStyle w:val="TableText"/>
            </w:pPr>
          </w:p>
        </w:tc>
      </w:tr>
      <w:bookmarkEnd w:id="8"/>
    </w:tbl>
    <w:p w14:paraId="59E2B15B" w14:textId="6A942D3A" w:rsidR="0034796B" w:rsidRPr="00281428" w:rsidRDefault="0034796B" w:rsidP="0034796B">
      <w:pPr>
        <w:suppressLineNumbers/>
        <w:spacing w:after="0"/>
        <w:ind w:left="252"/>
        <w:rPr>
          <w:lang w:eastAsia="ja-JP"/>
        </w:rPr>
      </w:pPr>
    </w:p>
    <w:p w14:paraId="5197EFE6" w14:textId="77777777" w:rsidR="0034796B" w:rsidRPr="00281428" w:rsidRDefault="0034796B">
      <w:pPr>
        <w:spacing w:after="0"/>
        <w:jc w:val="left"/>
        <w:rPr>
          <w:lang w:eastAsia="ja-JP"/>
        </w:rPr>
      </w:pPr>
      <w:r w:rsidRPr="00281428">
        <w:rPr>
          <w:lang w:eastAsia="ja-JP"/>
        </w:rPr>
        <w:br w:type="page"/>
      </w:r>
    </w:p>
    <w:p w14:paraId="5AA2DF3C" w14:textId="77777777" w:rsidR="0034796B" w:rsidRPr="00281428" w:rsidRDefault="0034796B" w:rsidP="002F0196">
      <w:pPr>
        <w:widowControl w:val="0"/>
        <w:pBdr>
          <w:top w:val="single" w:sz="12" w:space="0" w:color="auto"/>
          <w:bottom w:val="single" w:sz="12" w:space="1" w:color="auto"/>
        </w:pBdr>
        <w:tabs>
          <w:tab w:val="center" w:pos="4680"/>
        </w:tabs>
        <w:spacing w:before="240"/>
        <w:jc w:val="center"/>
        <w:outlineLvl w:val="3"/>
        <w:rPr>
          <w:b/>
          <w:sz w:val="22"/>
        </w:rPr>
      </w:pPr>
      <w:r w:rsidRPr="00281428">
        <w:rPr>
          <w:rFonts w:eastAsia="Times New Roman"/>
          <w:b/>
          <w:bCs/>
          <w:sz w:val="22"/>
        </w:rPr>
        <w:lastRenderedPageBreak/>
        <w:t>Table C</w:t>
      </w:r>
      <w:r w:rsidRPr="00281428">
        <w:rPr>
          <w:b/>
          <w:sz w:val="22"/>
        </w:rPr>
        <w:br/>
        <w:t>Voting Results</w:t>
      </w:r>
    </w:p>
    <w:p w14:paraId="355ADF95" w14:textId="77777777" w:rsidR="0034796B" w:rsidRPr="00281428" w:rsidRDefault="0034796B">
      <w:pPr>
        <w:tabs>
          <w:tab w:val="center" w:pos="4860"/>
          <w:tab w:val="right" w:pos="9360"/>
          <w:tab w:val="right" w:pos="9720"/>
        </w:tabs>
        <w:spacing w:after="0" w:line="228" w:lineRule="auto"/>
        <w:jc w:val="center"/>
        <w:rPr>
          <w:rFonts w:eastAsia="Times New Roman"/>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653"/>
        <w:gridCol w:w="1526"/>
        <w:gridCol w:w="1527"/>
        <w:gridCol w:w="1526"/>
        <w:gridCol w:w="1527"/>
        <w:gridCol w:w="1571"/>
      </w:tblGrid>
      <w:tr w:rsidR="0034796B" w:rsidRPr="00281428" w14:paraId="1175BBA0" w14:textId="77777777" w:rsidTr="002D600D">
        <w:tc>
          <w:tcPr>
            <w:tcW w:w="1653"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14:paraId="7A402859"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Reference Key Number</w:t>
            </w:r>
          </w:p>
        </w:tc>
        <w:tc>
          <w:tcPr>
            <w:tcW w:w="3053" w:type="dxa"/>
            <w:gridSpan w:val="2"/>
            <w:tcBorders>
              <w:top w:val="double" w:sz="4" w:space="0" w:color="auto"/>
              <w:left w:val="single" w:sz="6" w:space="0" w:color="auto"/>
              <w:bottom w:val="single" w:sz="6" w:space="0" w:color="auto"/>
            </w:tcBorders>
            <w:shd w:val="clear" w:color="auto" w:fill="auto"/>
            <w:vAlign w:val="center"/>
          </w:tcPr>
          <w:p w14:paraId="0A58DAA4"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House of State Representatives</w:t>
            </w:r>
          </w:p>
        </w:tc>
        <w:tc>
          <w:tcPr>
            <w:tcW w:w="3053" w:type="dxa"/>
            <w:gridSpan w:val="2"/>
            <w:tcBorders>
              <w:top w:val="double" w:sz="4" w:space="0" w:color="auto"/>
              <w:bottom w:val="single" w:sz="6" w:space="0" w:color="auto"/>
            </w:tcBorders>
            <w:shd w:val="clear" w:color="auto" w:fill="auto"/>
            <w:vAlign w:val="center"/>
          </w:tcPr>
          <w:p w14:paraId="0DC8863F"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House of Delegates</w:t>
            </w:r>
          </w:p>
        </w:tc>
        <w:tc>
          <w:tcPr>
            <w:tcW w:w="1571" w:type="dxa"/>
            <w:vMerge w:val="restart"/>
            <w:tcBorders>
              <w:top w:val="double" w:sz="4" w:space="0" w:color="auto"/>
              <w:bottom w:val="double" w:sz="4" w:space="0" w:color="auto"/>
            </w:tcBorders>
            <w:shd w:val="clear" w:color="auto" w:fill="auto"/>
            <w:vAlign w:val="center"/>
          </w:tcPr>
          <w:p w14:paraId="60D2C8FF"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Results</w:t>
            </w:r>
          </w:p>
        </w:tc>
      </w:tr>
      <w:tr w:rsidR="0034796B" w:rsidRPr="00281428" w14:paraId="1745FF56" w14:textId="77777777" w:rsidTr="002D600D">
        <w:tc>
          <w:tcPr>
            <w:tcW w:w="1653" w:type="dxa"/>
            <w:vMerge/>
            <w:tcBorders>
              <w:top w:val="single" w:sz="6" w:space="0" w:color="auto"/>
              <w:left w:val="double" w:sz="4" w:space="0" w:color="auto"/>
              <w:bottom w:val="double" w:sz="4" w:space="0" w:color="auto"/>
              <w:right w:val="single" w:sz="6" w:space="0" w:color="auto"/>
            </w:tcBorders>
            <w:shd w:val="clear" w:color="auto" w:fill="auto"/>
            <w:vAlign w:val="center"/>
          </w:tcPr>
          <w:p w14:paraId="6CABAC8F" w14:textId="77777777" w:rsidR="0034796B" w:rsidRPr="00281428" w:rsidRDefault="0034796B">
            <w:pPr>
              <w:spacing w:after="0"/>
              <w:jc w:val="center"/>
              <w:rPr>
                <w:rFonts w:eastAsia="Times New Roman"/>
                <w:szCs w:val="20"/>
              </w:rPr>
            </w:pPr>
          </w:p>
        </w:tc>
        <w:tc>
          <w:tcPr>
            <w:tcW w:w="1526" w:type="dxa"/>
            <w:tcBorders>
              <w:top w:val="single" w:sz="6" w:space="0" w:color="auto"/>
              <w:left w:val="single" w:sz="6" w:space="0" w:color="auto"/>
              <w:bottom w:val="double" w:sz="4" w:space="0" w:color="auto"/>
            </w:tcBorders>
            <w:shd w:val="clear" w:color="auto" w:fill="auto"/>
            <w:vAlign w:val="center"/>
          </w:tcPr>
          <w:p w14:paraId="1107D613"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Yeas</w:t>
            </w:r>
          </w:p>
        </w:tc>
        <w:tc>
          <w:tcPr>
            <w:tcW w:w="1527" w:type="dxa"/>
            <w:tcBorders>
              <w:top w:val="single" w:sz="6" w:space="0" w:color="auto"/>
              <w:bottom w:val="double" w:sz="4" w:space="0" w:color="auto"/>
            </w:tcBorders>
            <w:shd w:val="clear" w:color="auto" w:fill="auto"/>
            <w:vAlign w:val="center"/>
          </w:tcPr>
          <w:p w14:paraId="74AC4E92"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Nays</w:t>
            </w:r>
          </w:p>
        </w:tc>
        <w:tc>
          <w:tcPr>
            <w:tcW w:w="1526" w:type="dxa"/>
            <w:tcBorders>
              <w:top w:val="single" w:sz="6" w:space="0" w:color="auto"/>
              <w:bottom w:val="double" w:sz="4" w:space="0" w:color="auto"/>
            </w:tcBorders>
            <w:shd w:val="clear" w:color="auto" w:fill="auto"/>
            <w:vAlign w:val="center"/>
          </w:tcPr>
          <w:p w14:paraId="114F35AC"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Yeas</w:t>
            </w:r>
          </w:p>
        </w:tc>
        <w:tc>
          <w:tcPr>
            <w:tcW w:w="1527" w:type="dxa"/>
            <w:tcBorders>
              <w:top w:val="single" w:sz="6" w:space="0" w:color="auto"/>
              <w:bottom w:val="double" w:sz="4" w:space="0" w:color="auto"/>
            </w:tcBorders>
            <w:shd w:val="clear" w:color="auto" w:fill="auto"/>
            <w:vAlign w:val="center"/>
          </w:tcPr>
          <w:p w14:paraId="26CABA10"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Nays</w:t>
            </w:r>
          </w:p>
        </w:tc>
        <w:tc>
          <w:tcPr>
            <w:tcW w:w="1571" w:type="dxa"/>
            <w:vMerge/>
            <w:tcBorders>
              <w:top w:val="single" w:sz="6" w:space="0" w:color="auto"/>
              <w:bottom w:val="double" w:sz="4" w:space="0" w:color="auto"/>
            </w:tcBorders>
            <w:shd w:val="clear" w:color="auto" w:fill="auto"/>
            <w:vAlign w:val="center"/>
          </w:tcPr>
          <w:p w14:paraId="4A50C297" w14:textId="77777777" w:rsidR="0034796B" w:rsidRPr="00281428" w:rsidRDefault="0034796B">
            <w:pPr>
              <w:spacing w:after="0"/>
              <w:jc w:val="center"/>
              <w:rPr>
                <w:rFonts w:eastAsia="Times New Roman"/>
                <w:szCs w:val="20"/>
              </w:rPr>
            </w:pPr>
          </w:p>
        </w:tc>
      </w:tr>
      <w:tr w:rsidR="0034796B" w:rsidRPr="00281428" w14:paraId="60CF40A8" w14:textId="77777777" w:rsidTr="002D600D">
        <w:tc>
          <w:tcPr>
            <w:tcW w:w="1653" w:type="dxa"/>
            <w:tcBorders>
              <w:top w:val="single" w:sz="6" w:space="0" w:color="auto"/>
              <w:bottom w:val="single" w:sz="6" w:space="0" w:color="auto"/>
            </w:tcBorders>
            <w:shd w:val="clear" w:color="auto" w:fill="auto"/>
            <w:vAlign w:val="center"/>
          </w:tcPr>
          <w:p w14:paraId="73614FF8" w14:textId="77777777" w:rsidR="0034796B" w:rsidRPr="00281428" w:rsidRDefault="0034796B" w:rsidP="002D600D">
            <w:pPr>
              <w:spacing w:after="0"/>
              <w:jc w:val="center"/>
            </w:pPr>
            <w:r w:rsidRPr="00281428">
              <w:t>MOS-20.3</w:t>
            </w:r>
          </w:p>
        </w:tc>
        <w:tc>
          <w:tcPr>
            <w:tcW w:w="1526" w:type="dxa"/>
            <w:tcBorders>
              <w:top w:val="single" w:sz="6" w:space="0" w:color="auto"/>
              <w:bottom w:val="single" w:sz="6" w:space="0" w:color="auto"/>
            </w:tcBorders>
            <w:shd w:val="clear" w:color="auto" w:fill="auto"/>
            <w:vAlign w:val="center"/>
          </w:tcPr>
          <w:p w14:paraId="7745D31A" w14:textId="77777777" w:rsidR="0034796B" w:rsidRPr="00281428" w:rsidRDefault="0034796B" w:rsidP="002D600D">
            <w:pPr>
              <w:spacing w:after="0"/>
              <w:jc w:val="center"/>
            </w:pPr>
            <w:r w:rsidRPr="00281428">
              <w:t>37</w:t>
            </w:r>
          </w:p>
        </w:tc>
        <w:tc>
          <w:tcPr>
            <w:tcW w:w="1527" w:type="dxa"/>
            <w:tcBorders>
              <w:top w:val="single" w:sz="6" w:space="0" w:color="auto"/>
              <w:bottom w:val="single" w:sz="6" w:space="0" w:color="auto"/>
            </w:tcBorders>
            <w:shd w:val="clear" w:color="auto" w:fill="auto"/>
            <w:vAlign w:val="center"/>
          </w:tcPr>
          <w:p w14:paraId="4CC08FF2" w14:textId="77777777" w:rsidR="0034796B" w:rsidRPr="00281428" w:rsidRDefault="0034796B" w:rsidP="002D600D">
            <w:pPr>
              <w:spacing w:after="0"/>
              <w:jc w:val="center"/>
            </w:pPr>
            <w:r w:rsidRPr="00281428">
              <w:t>0</w:t>
            </w:r>
          </w:p>
        </w:tc>
        <w:tc>
          <w:tcPr>
            <w:tcW w:w="1526" w:type="dxa"/>
            <w:tcBorders>
              <w:top w:val="single" w:sz="6" w:space="0" w:color="auto"/>
              <w:bottom w:val="single" w:sz="6" w:space="0" w:color="auto"/>
            </w:tcBorders>
            <w:shd w:val="clear" w:color="auto" w:fill="auto"/>
            <w:vAlign w:val="center"/>
          </w:tcPr>
          <w:p w14:paraId="125F085D" w14:textId="77777777" w:rsidR="0034796B" w:rsidRPr="00281428" w:rsidRDefault="0034796B" w:rsidP="002D600D">
            <w:pPr>
              <w:spacing w:after="0"/>
              <w:jc w:val="center"/>
            </w:pPr>
            <w:r w:rsidRPr="00281428">
              <w:t>34</w:t>
            </w:r>
          </w:p>
        </w:tc>
        <w:tc>
          <w:tcPr>
            <w:tcW w:w="1527" w:type="dxa"/>
            <w:tcBorders>
              <w:top w:val="single" w:sz="6" w:space="0" w:color="auto"/>
              <w:bottom w:val="single" w:sz="6" w:space="0" w:color="auto"/>
            </w:tcBorders>
            <w:shd w:val="clear" w:color="auto" w:fill="auto"/>
            <w:vAlign w:val="center"/>
          </w:tcPr>
          <w:p w14:paraId="62D09C45" w14:textId="77777777" w:rsidR="0034796B" w:rsidRPr="00281428" w:rsidRDefault="0034796B" w:rsidP="002D600D">
            <w:pPr>
              <w:spacing w:after="0"/>
              <w:jc w:val="center"/>
            </w:pPr>
            <w:r w:rsidRPr="00281428">
              <w:t>0</w:t>
            </w:r>
          </w:p>
        </w:tc>
        <w:tc>
          <w:tcPr>
            <w:tcW w:w="1571" w:type="dxa"/>
            <w:tcBorders>
              <w:top w:val="single" w:sz="6" w:space="0" w:color="auto"/>
              <w:bottom w:val="single" w:sz="6" w:space="0" w:color="auto"/>
            </w:tcBorders>
            <w:shd w:val="clear" w:color="auto" w:fill="auto"/>
            <w:vAlign w:val="center"/>
          </w:tcPr>
          <w:p w14:paraId="7807DDA7" w14:textId="77777777" w:rsidR="0034796B" w:rsidRPr="00281428" w:rsidRDefault="0034796B" w:rsidP="002D600D">
            <w:pPr>
              <w:spacing w:after="0"/>
              <w:jc w:val="center"/>
            </w:pPr>
            <w:r w:rsidRPr="00281428">
              <w:t>Positive Vote</w:t>
            </w:r>
          </w:p>
        </w:tc>
      </w:tr>
      <w:tr w:rsidR="0034796B" w:rsidRPr="00281428" w14:paraId="65A96C4F" w14:textId="77777777" w:rsidTr="002D600D">
        <w:tc>
          <w:tcPr>
            <w:tcW w:w="1653" w:type="dxa"/>
            <w:tcBorders>
              <w:top w:val="single" w:sz="6" w:space="0" w:color="auto"/>
              <w:bottom w:val="single" w:sz="6" w:space="0" w:color="auto"/>
            </w:tcBorders>
            <w:shd w:val="clear" w:color="auto" w:fill="auto"/>
            <w:vAlign w:val="center"/>
          </w:tcPr>
          <w:p w14:paraId="09F069F1" w14:textId="77777777" w:rsidR="0034796B" w:rsidRPr="00281428" w:rsidRDefault="0034796B" w:rsidP="002D600D">
            <w:pPr>
              <w:spacing w:after="0"/>
              <w:jc w:val="center"/>
            </w:pPr>
            <w:r w:rsidRPr="00281428">
              <w:t>B5: MOS-18.2</w:t>
            </w:r>
          </w:p>
        </w:tc>
        <w:tc>
          <w:tcPr>
            <w:tcW w:w="1526" w:type="dxa"/>
            <w:tcBorders>
              <w:top w:val="single" w:sz="6" w:space="0" w:color="auto"/>
              <w:bottom w:val="single" w:sz="6" w:space="0" w:color="auto"/>
            </w:tcBorders>
            <w:shd w:val="clear" w:color="auto" w:fill="auto"/>
            <w:vAlign w:val="center"/>
          </w:tcPr>
          <w:p w14:paraId="671CEE28" w14:textId="77777777" w:rsidR="0034796B" w:rsidRPr="00281428" w:rsidRDefault="0034796B" w:rsidP="002D600D">
            <w:pPr>
              <w:spacing w:after="0"/>
              <w:jc w:val="center"/>
            </w:pPr>
            <w:r w:rsidRPr="00281428">
              <w:t>37</w:t>
            </w:r>
          </w:p>
        </w:tc>
        <w:tc>
          <w:tcPr>
            <w:tcW w:w="1527" w:type="dxa"/>
            <w:tcBorders>
              <w:top w:val="single" w:sz="6" w:space="0" w:color="auto"/>
              <w:bottom w:val="single" w:sz="6" w:space="0" w:color="auto"/>
            </w:tcBorders>
            <w:shd w:val="clear" w:color="auto" w:fill="auto"/>
            <w:vAlign w:val="center"/>
          </w:tcPr>
          <w:p w14:paraId="5BE969CB"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248C74DA" w14:textId="77777777" w:rsidR="0034796B" w:rsidRPr="00281428" w:rsidRDefault="0034796B" w:rsidP="002D600D">
            <w:pPr>
              <w:spacing w:after="0"/>
              <w:jc w:val="center"/>
            </w:pPr>
            <w:r w:rsidRPr="00281428">
              <w:t>44</w:t>
            </w:r>
          </w:p>
        </w:tc>
        <w:tc>
          <w:tcPr>
            <w:tcW w:w="1527" w:type="dxa"/>
            <w:tcBorders>
              <w:top w:val="single" w:sz="6" w:space="0" w:color="auto"/>
              <w:bottom w:val="single" w:sz="6" w:space="0" w:color="auto"/>
            </w:tcBorders>
            <w:shd w:val="clear" w:color="auto" w:fill="auto"/>
            <w:vAlign w:val="center"/>
          </w:tcPr>
          <w:p w14:paraId="3B6B9C72" w14:textId="77777777" w:rsidR="0034796B" w:rsidRPr="00281428" w:rsidRDefault="0034796B" w:rsidP="002D600D">
            <w:pPr>
              <w:spacing w:after="0"/>
              <w:jc w:val="center"/>
            </w:pPr>
            <w:r w:rsidRPr="00281428">
              <w:t>1</w:t>
            </w:r>
          </w:p>
        </w:tc>
        <w:tc>
          <w:tcPr>
            <w:tcW w:w="1571" w:type="dxa"/>
            <w:tcBorders>
              <w:top w:val="single" w:sz="6" w:space="0" w:color="auto"/>
              <w:bottom w:val="single" w:sz="6" w:space="0" w:color="auto"/>
            </w:tcBorders>
            <w:shd w:val="clear" w:color="auto" w:fill="auto"/>
            <w:vAlign w:val="center"/>
          </w:tcPr>
          <w:p w14:paraId="2A5DA5AB" w14:textId="77777777" w:rsidR="0034796B" w:rsidRPr="00281428" w:rsidRDefault="0034796B" w:rsidP="002D600D">
            <w:pPr>
              <w:spacing w:after="0"/>
              <w:jc w:val="center"/>
            </w:pPr>
            <w:r w:rsidRPr="00281428">
              <w:t>Positive Vote</w:t>
            </w:r>
          </w:p>
        </w:tc>
      </w:tr>
      <w:tr w:rsidR="0034796B" w:rsidRPr="00281428" w14:paraId="20F20634" w14:textId="77777777" w:rsidTr="002D600D">
        <w:tc>
          <w:tcPr>
            <w:tcW w:w="1653" w:type="dxa"/>
            <w:tcBorders>
              <w:top w:val="single" w:sz="6" w:space="0" w:color="auto"/>
              <w:bottom w:val="single" w:sz="6" w:space="0" w:color="auto"/>
            </w:tcBorders>
            <w:shd w:val="clear" w:color="auto" w:fill="auto"/>
            <w:vAlign w:val="center"/>
          </w:tcPr>
          <w:p w14:paraId="2FACEEB6" w14:textId="77777777" w:rsidR="0034796B" w:rsidRPr="00281428" w:rsidRDefault="0034796B" w:rsidP="002D600D">
            <w:pPr>
              <w:spacing w:after="0"/>
              <w:jc w:val="center"/>
            </w:pPr>
            <w:r w:rsidRPr="00281428">
              <w:t>B5: FLR-20.4</w:t>
            </w:r>
          </w:p>
        </w:tc>
        <w:tc>
          <w:tcPr>
            <w:tcW w:w="1526" w:type="dxa"/>
            <w:tcBorders>
              <w:top w:val="single" w:sz="6" w:space="0" w:color="auto"/>
              <w:bottom w:val="single" w:sz="6" w:space="0" w:color="auto"/>
            </w:tcBorders>
            <w:shd w:val="clear" w:color="auto" w:fill="auto"/>
            <w:vAlign w:val="center"/>
          </w:tcPr>
          <w:p w14:paraId="184E980F" w14:textId="77777777" w:rsidR="0034796B" w:rsidRPr="00281428" w:rsidRDefault="0034796B" w:rsidP="002D600D">
            <w:pPr>
              <w:spacing w:after="0"/>
              <w:jc w:val="center"/>
            </w:pPr>
            <w:r w:rsidRPr="00281428">
              <w:t>37</w:t>
            </w:r>
          </w:p>
        </w:tc>
        <w:tc>
          <w:tcPr>
            <w:tcW w:w="1527" w:type="dxa"/>
            <w:tcBorders>
              <w:top w:val="single" w:sz="6" w:space="0" w:color="auto"/>
              <w:bottom w:val="single" w:sz="6" w:space="0" w:color="auto"/>
            </w:tcBorders>
            <w:shd w:val="clear" w:color="auto" w:fill="auto"/>
            <w:vAlign w:val="center"/>
          </w:tcPr>
          <w:p w14:paraId="1A2C260F"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2ABCC02D" w14:textId="77777777" w:rsidR="0034796B" w:rsidRPr="00281428" w:rsidRDefault="0034796B" w:rsidP="002D600D">
            <w:pPr>
              <w:spacing w:after="0"/>
              <w:jc w:val="center"/>
            </w:pPr>
            <w:r w:rsidRPr="00281428">
              <w:t>44</w:t>
            </w:r>
          </w:p>
        </w:tc>
        <w:tc>
          <w:tcPr>
            <w:tcW w:w="1527" w:type="dxa"/>
            <w:tcBorders>
              <w:top w:val="single" w:sz="6" w:space="0" w:color="auto"/>
              <w:bottom w:val="single" w:sz="6" w:space="0" w:color="auto"/>
            </w:tcBorders>
            <w:shd w:val="clear" w:color="auto" w:fill="auto"/>
            <w:vAlign w:val="center"/>
          </w:tcPr>
          <w:p w14:paraId="26255711" w14:textId="77777777" w:rsidR="0034796B" w:rsidRPr="00281428" w:rsidRDefault="0034796B" w:rsidP="002D600D">
            <w:pPr>
              <w:spacing w:after="0"/>
              <w:jc w:val="center"/>
            </w:pPr>
            <w:r w:rsidRPr="00281428">
              <w:t>1</w:t>
            </w:r>
          </w:p>
        </w:tc>
        <w:tc>
          <w:tcPr>
            <w:tcW w:w="1571" w:type="dxa"/>
            <w:tcBorders>
              <w:top w:val="single" w:sz="6" w:space="0" w:color="auto"/>
              <w:bottom w:val="single" w:sz="6" w:space="0" w:color="auto"/>
            </w:tcBorders>
            <w:shd w:val="clear" w:color="auto" w:fill="auto"/>
            <w:vAlign w:val="center"/>
          </w:tcPr>
          <w:p w14:paraId="0189DD0E" w14:textId="77777777" w:rsidR="0034796B" w:rsidRPr="00281428" w:rsidRDefault="0034796B" w:rsidP="002D600D">
            <w:pPr>
              <w:spacing w:after="0"/>
              <w:jc w:val="center"/>
            </w:pPr>
            <w:r w:rsidRPr="00281428">
              <w:t>Positive Vote</w:t>
            </w:r>
          </w:p>
        </w:tc>
      </w:tr>
      <w:tr w:rsidR="0034796B" w:rsidRPr="00281428" w14:paraId="48144696" w14:textId="77777777" w:rsidTr="002D600D">
        <w:tc>
          <w:tcPr>
            <w:tcW w:w="1653" w:type="dxa"/>
            <w:tcBorders>
              <w:top w:val="single" w:sz="6" w:space="0" w:color="auto"/>
              <w:bottom w:val="single" w:sz="6" w:space="0" w:color="auto"/>
            </w:tcBorders>
            <w:shd w:val="clear" w:color="auto" w:fill="auto"/>
            <w:vAlign w:val="center"/>
          </w:tcPr>
          <w:p w14:paraId="7FE4C17E" w14:textId="77777777" w:rsidR="0034796B" w:rsidRPr="00281428" w:rsidRDefault="0034796B" w:rsidP="002D600D">
            <w:pPr>
              <w:spacing w:after="0"/>
              <w:jc w:val="center"/>
            </w:pPr>
            <w:r w:rsidRPr="00281428">
              <w:t>B2: MOS-20.1</w:t>
            </w:r>
          </w:p>
        </w:tc>
        <w:tc>
          <w:tcPr>
            <w:tcW w:w="1526" w:type="dxa"/>
            <w:tcBorders>
              <w:top w:val="single" w:sz="6" w:space="0" w:color="auto"/>
              <w:bottom w:val="single" w:sz="6" w:space="0" w:color="auto"/>
            </w:tcBorders>
            <w:shd w:val="clear" w:color="auto" w:fill="auto"/>
            <w:vAlign w:val="center"/>
          </w:tcPr>
          <w:p w14:paraId="05E00ADB" w14:textId="77777777" w:rsidR="0034796B" w:rsidRPr="00281428" w:rsidRDefault="0034796B" w:rsidP="002D600D">
            <w:pPr>
              <w:spacing w:after="0"/>
              <w:jc w:val="center"/>
            </w:pPr>
            <w:r w:rsidRPr="00281428">
              <w:t>35</w:t>
            </w:r>
          </w:p>
        </w:tc>
        <w:tc>
          <w:tcPr>
            <w:tcW w:w="1527" w:type="dxa"/>
            <w:tcBorders>
              <w:top w:val="single" w:sz="6" w:space="0" w:color="auto"/>
              <w:bottom w:val="single" w:sz="6" w:space="0" w:color="auto"/>
            </w:tcBorders>
            <w:shd w:val="clear" w:color="auto" w:fill="auto"/>
            <w:vAlign w:val="center"/>
          </w:tcPr>
          <w:p w14:paraId="7F0D2A07" w14:textId="77777777" w:rsidR="0034796B" w:rsidRPr="00281428" w:rsidRDefault="0034796B" w:rsidP="002D600D">
            <w:pPr>
              <w:spacing w:after="0"/>
              <w:jc w:val="center"/>
            </w:pPr>
            <w:r w:rsidRPr="00281428">
              <w:t>0</w:t>
            </w:r>
          </w:p>
        </w:tc>
        <w:tc>
          <w:tcPr>
            <w:tcW w:w="1526" w:type="dxa"/>
            <w:tcBorders>
              <w:top w:val="single" w:sz="6" w:space="0" w:color="auto"/>
              <w:bottom w:val="single" w:sz="6" w:space="0" w:color="auto"/>
            </w:tcBorders>
            <w:shd w:val="clear" w:color="auto" w:fill="auto"/>
            <w:vAlign w:val="center"/>
          </w:tcPr>
          <w:p w14:paraId="371250C5" w14:textId="77777777" w:rsidR="0034796B" w:rsidRPr="00281428" w:rsidRDefault="0034796B" w:rsidP="002D600D">
            <w:pPr>
              <w:spacing w:after="0"/>
              <w:jc w:val="center"/>
            </w:pPr>
            <w:r w:rsidRPr="00281428">
              <w:t>43</w:t>
            </w:r>
          </w:p>
        </w:tc>
        <w:tc>
          <w:tcPr>
            <w:tcW w:w="1527" w:type="dxa"/>
            <w:tcBorders>
              <w:top w:val="single" w:sz="6" w:space="0" w:color="auto"/>
              <w:bottom w:val="single" w:sz="6" w:space="0" w:color="auto"/>
            </w:tcBorders>
            <w:shd w:val="clear" w:color="auto" w:fill="auto"/>
            <w:vAlign w:val="center"/>
          </w:tcPr>
          <w:p w14:paraId="54B163B7" w14:textId="77777777" w:rsidR="0034796B" w:rsidRPr="00281428" w:rsidRDefault="0034796B" w:rsidP="002D600D">
            <w:pPr>
              <w:spacing w:after="0"/>
              <w:jc w:val="center"/>
            </w:pPr>
            <w:r w:rsidRPr="00281428">
              <w:t>0</w:t>
            </w:r>
          </w:p>
        </w:tc>
        <w:tc>
          <w:tcPr>
            <w:tcW w:w="1571" w:type="dxa"/>
            <w:tcBorders>
              <w:top w:val="single" w:sz="6" w:space="0" w:color="auto"/>
              <w:bottom w:val="single" w:sz="6" w:space="0" w:color="auto"/>
            </w:tcBorders>
            <w:shd w:val="clear" w:color="auto" w:fill="auto"/>
            <w:vAlign w:val="center"/>
          </w:tcPr>
          <w:p w14:paraId="344B4EA1" w14:textId="77777777" w:rsidR="0034796B" w:rsidRPr="00281428" w:rsidRDefault="0034796B" w:rsidP="002D600D">
            <w:pPr>
              <w:spacing w:after="0"/>
              <w:jc w:val="center"/>
            </w:pPr>
            <w:r w:rsidRPr="00281428">
              <w:t>Positive Vote</w:t>
            </w:r>
          </w:p>
        </w:tc>
      </w:tr>
      <w:tr w:rsidR="0034796B" w:rsidRPr="00281428" w14:paraId="0F0780B4" w14:textId="77777777" w:rsidTr="002D600D">
        <w:tc>
          <w:tcPr>
            <w:tcW w:w="1653" w:type="dxa"/>
            <w:tcBorders>
              <w:top w:val="single" w:sz="6" w:space="0" w:color="auto"/>
              <w:bottom w:val="single" w:sz="6" w:space="0" w:color="auto"/>
            </w:tcBorders>
            <w:shd w:val="clear" w:color="auto" w:fill="auto"/>
            <w:vAlign w:val="center"/>
          </w:tcPr>
          <w:p w14:paraId="4CE4C900" w14:textId="77777777" w:rsidR="0034796B" w:rsidRPr="00281428" w:rsidRDefault="0034796B" w:rsidP="002D600D">
            <w:pPr>
              <w:spacing w:after="0"/>
              <w:jc w:val="center"/>
            </w:pPr>
            <w:r w:rsidRPr="00281428">
              <w:t>B2: FLR-20.1</w:t>
            </w:r>
          </w:p>
        </w:tc>
        <w:tc>
          <w:tcPr>
            <w:tcW w:w="1526" w:type="dxa"/>
            <w:tcBorders>
              <w:top w:val="single" w:sz="6" w:space="0" w:color="auto"/>
              <w:bottom w:val="single" w:sz="6" w:space="0" w:color="auto"/>
            </w:tcBorders>
            <w:shd w:val="clear" w:color="auto" w:fill="auto"/>
            <w:vAlign w:val="center"/>
          </w:tcPr>
          <w:p w14:paraId="7FFFDD0A" w14:textId="77777777" w:rsidR="0034796B" w:rsidRPr="00281428" w:rsidRDefault="0034796B" w:rsidP="002D600D">
            <w:pPr>
              <w:spacing w:after="0"/>
              <w:jc w:val="center"/>
            </w:pPr>
            <w:r w:rsidRPr="00281428">
              <w:t>38</w:t>
            </w:r>
          </w:p>
        </w:tc>
        <w:tc>
          <w:tcPr>
            <w:tcW w:w="1527" w:type="dxa"/>
            <w:tcBorders>
              <w:top w:val="single" w:sz="6" w:space="0" w:color="auto"/>
              <w:bottom w:val="single" w:sz="6" w:space="0" w:color="auto"/>
            </w:tcBorders>
            <w:shd w:val="clear" w:color="auto" w:fill="auto"/>
            <w:vAlign w:val="center"/>
          </w:tcPr>
          <w:p w14:paraId="15CFB2E2"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5C0E5174" w14:textId="77777777" w:rsidR="0034796B" w:rsidRPr="00281428" w:rsidRDefault="0034796B" w:rsidP="002D600D">
            <w:pPr>
              <w:spacing w:after="0"/>
              <w:jc w:val="center"/>
            </w:pPr>
            <w:r w:rsidRPr="00281428">
              <w:t>38</w:t>
            </w:r>
          </w:p>
        </w:tc>
        <w:tc>
          <w:tcPr>
            <w:tcW w:w="1527" w:type="dxa"/>
            <w:tcBorders>
              <w:top w:val="single" w:sz="6" w:space="0" w:color="auto"/>
              <w:bottom w:val="single" w:sz="6" w:space="0" w:color="auto"/>
            </w:tcBorders>
            <w:shd w:val="clear" w:color="auto" w:fill="auto"/>
            <w:vAlign w:val="center"/>
          </w:tcPr>
          <w:p w14:paraId="2C57C8AD" w14:textId="77777777" w:rsidR="0034796B" w:rsidRPr="00281428" w:rsidRDefault="0034796B" w:rsidP="002D600D">
            <w:pPr>
              <w:spacing w:after="0"/>
              <w:jc w:val="center"/>
            </w:pPr>
            <w:r w:rsidRPr="00281428">
              <w:t>3</w:t>
            </w:r>
          </w:p>
        </w:tc>
        <w:tc>
          <w:tcPr>
            <w:tcW w:w="1571" w:type="dxa"/>
            <w:tcBorders>
              <w:top w:val="single" w:sz="6" w:space="0" w:color="auto"/>
              <w:bottom w:val="single" w:sz="6" w:space="0" w:color="auto"/>
            </w:tcBorders>
            <w:shd w:val="clear" w:color="auto" w:fill="auto"/>
            <w:vAlign w:val="center"/>
          </w:tcPr>
          <w:p w14:paraId="3EBA6027" w14:textId="77777777" w:rsidR="0034796B" w:rsidRPr="00281428" w:rsidRDefault="0034796B" w:rsidP="002D600D">
            <w:pPr>
              <w:spacing w:after="0"/>
              <w:jc w:val="center"/>
            </w:pPr>
            <w:r w:rsidRPr="00281428">
              <w:t>Positive Vote</w:t>
            </w:r>
          </w:p>
        </w:tc>
      </w:tr>
      <w:tr w:rsidR="0034796B" w:rsidRPr="00281428" w14:paraId="0530888D" w14:textId="77777777" w:rsidTr="002D600D">
        <w:tc>
          <w:tcPr>
            <w:tcW w:w="1653" w:type="dxa"/>
            <w:tcBorders>
              <w:top w:val="single" w:sz="6" w:space="0" w:color="auto"/>
              <w:bottom w:val="single" w:sz="6" w:space="0" w:color="auto"/>
            </w:tcBorders>
            <w:shd w:val="clear" w:color="auto" w:fill="auto"/>
            <w:vAlign w:val="center"/>
          </w:tcPr>
          <w:p w14:paraId="2DE12646" w14:textId="77777777" w:rsidR="0034796B" w:rsidRPr="00281428" w:rsidRDefault="0034796B" w:rsidP="002D600D">
            <w:pPr>
              <w:spacing w:after="0"/>
              <w:jc w:val="center"/>
            </w:pPr>
            <w:r w:rsidRPr="00281428">
              <w:t>B3: FLL-18-1</w:t>
            </w:r>
          </w:p>
        </w:tc>
        <w:tc>
          <w:tcPr>
            <w:tcW w:w="1526" w:type="dxa"/>
            <w:tcBorders>
              <w:top w:val="single" w:sz="6" w:space="0" w:color="auto"/>
              <w:bottom w:val="single" w:sz="6" w:space="0" w:color="auto"/>
            </w:tcBorders>
            <w:shd w:val="clear" w:color="auto" w:fill="auto"/>
            <w:vAlign w:val="center"/>
          </w:tcPr>
          <w:p w14:paraId="31861DB4" w14:textId="77777777" w:rsidR="0034796B" w:rsidRPr="00281428" w:rsidRDefault="0034796B" w:rsidP="002D600D">
            <w:pPr>
              <w:spacing w:after="0"/>
              <w:jc w:val="center"/>
            </w:pPr>
            <w:r w:rsidRPr="00281428">
              <w:t>39</w:t>
            </w:r>
          </w:p>
        </w:tc>
        <w:tc>
          <w:tcPr>
            <w:tcW w:w="1527" w:type="dxa"/>
            <w:tcBorders>
              <w:top w:val="single" w:sz="6" w:space="0" w:color="auto"/>
              <w:bottom w:val="single" w:sz="6" w:space="0" w:color="auto"/>
            </w:tcBorders>
            <w:shd w:val="clear" w:color="auto" w:fill="auto"/>
            <w:vAlign w:val="center"/>
          </w:tcPr>
          <w:p w14:paraId="012E46CE"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675EFA17" w14:textId="77777777" w:rsidR="0034796B" w:rsidRPr="00281428" w:rsidRDefault="0034796B" w:rsidP="002D600D">
            <w:pPr>
              <w:spacing w:after="0"/>
              <w:jc w:val="center"/>
            </w:pPr>
            <w:r w:rsidRPr="00281428">
              <w:t>40</w:t>
            </w:r>
          </w:p>
        </w:tc>
        <w:tc>
          <w:tcPr>
            <w:tcW w:w="1527" w:type="dxa"/>
            <w:tcBorders>
              <w:top w:val="single" w:sz="6" w:space="0" w:color="auto"/>
              <w:bottom w:val="single" w:sz="6" w:space="0" w:color="auto"/>
            </w:tcBorders>
            <w:shd w:val="clear" w:color="auto" w:fill="auto"/>
            <w:vAlign w:val="center"/>
          </w:tcPr>
          <w:p w14:paraId="41AD3978" w14:textId="77777777" w:rsidR="0034796B" w:rsidRPr="00281428" w:rsidRDefault="0034796B" w:rsidP="002D600D">
            <w:pPr>
              <w:spacing w:after="0"/>
              <w:jc w:val="center"/>
            </w:pPr>
            <w:r w:rsidRPr="00281428">
              <w:t>2</w:t>
            </w:r>
          </w:p>
        </w:tc>
        <w:tc>
          <w:tcPr>
            <w:tcW w:w="1571" w:type="dxa"/>
            <w:tcBorders>
              <w:top w:val="single" w:sz="6" w:space="0" w:color="auto"/>
              <w:bottom w:val="single" w:sz="6" w:space="0" w:color="auto"/>
            </w:tcBorders>
            <w:shd w:val="clear" w:color="auto" w:fill="auto"/>
            <w:vAlign w:val="center"/>
          </w:tcPr>
          <w:p w14:paraId="2D82923A" w14:textId="77777777" w:rsidR="0034796B" w:rsidRPr="00281428" w:rsidRDefault="0034796B" w:rsidP="002D600D">
            <w:pPr>
              <w:spacing w:after="0"/>
              <w:jc w:val="center"/>
            </w:pPr>
            <w:r w:rsidRPr="00281428">
              <w:t>Positive Vote</w:t>
            </w:r>
          </w:p>
        </w:tc>
      </w:tr>
      <w:tr w:rsidR="0034796B" w:rsidRPr="00281428" w14:paraId="05D2AAFE" w14:textId="77777777" w:rsidTr="002D600D">
        <w:tc>
          <w:tcPr>
            <w:tcW w:w="1653" w:type="dxa"/>
            <w:tcBorders>
              <w:bottom w:val="single" w:sz="6" w:space="0" w:color="auto"/>
            </w:tcBorders>
            <w:shd w:val="clear" w:color="auto" w:fill="auto"/>
            <w:vAlign w:val="center"/>
          </w:tcPr>
          <w:p w14:paraId="31F335A8" w14:textId="77777777" w:rsidR="0034796B" w:rsidRPr="00281428" w:rsidRDefault="0034796B" w:rsidP="002D600D">
            <w:pPr>
              <w:spacing w:after="0"/>
              <w:jc w:val="center"/>
            </w:pPr>
            <w:r w:rsidRPr="00281428">
              <w:t>To Accept the Report</w:t>
            </w:r>
          </w:p>
        </w:tc>
        <w:tc>
          <w:tcPr>
            <w:tcW w:w="1526" w:type="dxa"/>
            <w:tcBorders>
              <w:bottom w:val="single" w:sz="6" w:space="0" w:color="auto"/>
            </w:tcBorders>
            <w:shd w:val="clear" w:color="auto" w:fill="auto"/>
            <w:vAlign w:val="center"/>
          </w:tcPr>
          <w:p w14:paraId="5A5E3CDB" w14:textId="77777777" w:rsidR="0034796B" w:rsidRPr="00281428" w:rsidRDefault="0034796B" w:rsidP="002D600D">
            <w:pPr>
              <w:spacing w:after="0"/>
              <w:jc w:val="center"/>
            </w:pPr>
            <w:r w:rsidRPr="00281428">
              <w:t>45</w:t>
            </w:r>
          </w:p>
        </w:tc>
        <w:tc>
          <w:tcPr>
            <w:tcW w:w="1527" w:type="dxa"/>
            <w:tcBorders>
              <w:bottom w:val="single" w:sz="6" w:space="0" w:color="auto"/>
            </w:tcBorders>
            <w:shd w:val="clear" w:color="auto" w:fill="auto"/>
            <w:vAlign w:val="center"/>
          </w:tcPr>
          <w:p w14:paraId="6C517AB1" w14:textId="77777777" w:rsidR="0034796B" w:rsidRPr="00281428" w:rsidRDefault="0034796B" w:rsidP="002D600D">
            <w:pPr>
              <w:spacing w:after="0"/>
              <w:jc w:val="center"/>
            </w:pPr>
            <w:r w:rsidRPr="00281428">
              <w:t>0</w:t>
            </w:r>
          </w:p>
        </w:tc>
        <w:tc>
          <w:tcPr>
            <w:tcW w:w="1526" w:type="dxa"/>
            <w:tcBorders>
              <w:bottom w:val="single" w:sz="6" w:space="0" w:color="auto"/>
            </w:tcBorders>
            <w:shd w:val="clear" w:color="auto" w:fill="auto"/>
            <w:vAlign w:val="center"/>
          </w:tcPr>
          <w:p w14:paraId="0CDCD00A" w14:textId="77777777" w:rsidR="0034796B" w:rsidRPr="00281428" w:rsidRDefault="0034796B" w:rsidP="002D600D">
            <w:pPr>
              <w:spacing w:after="0"/>
              <w:jc w:val="center"/>
            </w:pPr>
            <w:r w:rsidRPr="00281428">
              <w:t>0</w:t>
            </w:r>
          </w:p>
        </w:tc>
        <w:tc>
          <w:tcPr>
            <w:tcW w:w="1527" w:type="dxa"/>
            <w:tcBorders>
              <w:bottom w:val="single" w:sz="6" w:space="0" w:color="auto"/>
            </w:tcBorders>
            <w:shd w:val="clear" w:color="auto" w:fill="auto"/>
            <w:vAlign w:val="center"/>
          </w:tcPr>
          <w:p w14:paraId="0E25CD4D" w14:textId="77777777" w:rsidR="0034796B" w:rsidRPr="00281428" w:rsidRDefault="0034796B" w:rsidP="002D600D">
            <w:pPr>
              <w:spacing w:after="0"/>
              <w:jc w:val="center"/>
            </w:pPr>
            <w:r w:rsidRPr="00281428">
              <w:t>0</w:t>
            </w:r>
          </w:p>
        </w:tc>
        <w:tc>
          <w:tcPr>
            <w:tcW w:w="1571" w:type="dxa"/>
            <w:tcBorders>
              <w:bottom w:val="single" w:sz="6" w:space="0" w:color="auto"/>
            </w:tcBorders>
            <w:shd w:val="clear" w:color="auto" w:fill="auto"/>
            <w:vAlign w:val="center"/>
          </w:tcPr>
          <w:p w14:paraId="5B41C941" w14:textId="77777777" w:rsidR="0034796B" w:rsidRPr="00281428" w:rsidRDefault="0034796B" w:rsidP="002D600D">
            <w:pPr>
              <w:spacing w:after="0"/>
              <w:jc w:val="center"/>
            </w:pPr>
            <w:r w:rsidRPr="00281428">
              <w:t>Positive Vote</w:t>
            </w:r>
          </w:p>
        </w:tc>
      </w:tr>
      <w:tr w:rsidR="0034796B" w:rsidRPr="00281428" w14:paraId="759B46BD" w14:textId="77777777" w:rsidTr="002D600D">
        <w:trPr>
          <w:trHeight w:val="197"/>
        </w:trPr>
        <w:tc>
          <w:tcPr>
            <w:tcW w:w="9330" w:type="dxa"/>
            <w:gridSpan w:val="6"/>
            <w:tcBorders>
              <w:top w:val="double" w:sz="4" w:space="0" w:color="auto"/>
              <w:left w:val="nil"/>
              <w:bottom w:val="single" w:sz="12" w:space="0" w:color="auto"/>
              <w:right w:val="nil"/>
            </w:tcBorders>
            <w:shd w:val="clear" w:color="auto" w:fill="auto"/>
            <w:vAlign w:val="center"/>
          </w:tcPr>
          <w:p w14:paraId="7DF686B8" w14:textId="77777777" w:rsidR="0034796B" w:rsidRPr="00281428" w:rsidRDefault="0034796B" w:rsidP="002D600D">
            <w:pPr>
              <w:spacing w:after="0"/>
              <w:jc w:val="center"/>
              <w:rPr>
                <w:rFonts w:eastAsia="Times New Roman"/>
                <w:szCs w:val="20"/>
              </w:rPr>
            </w:pPr>
          </w:p>
        </w:tc>
      </w:tr>
    </w:tbl>
    <w:p w14:paraId="0DCB47B7" w14:textId="77777777" w:rsidR="004E33CC" w:rsidRPr="00281428" w:rsidRDefault="004E33CC" w:rsidP="000803DF">
      <w:pPr>
        <w:suppressLineNumbers/>
        <w:spacing w:after="0"/>
        <w:ind w:left="252"/>
        <w:rPr>
          <w:lang w:eastAsia="ja-JP"/>
        </w:rPr>
      </w:pPr>
    </w:p>
    <w:p w14:paraId="702C03F8" w14:textId="454D1771" w:rsidR="004E33CC" w:rsidRPr="00281428" w:rsidRDefault="004E33CC" w:rsidP="004E33CC">
      <w:pPr>
        <w:spacing w:after="160" w:line="259" w:lineRule="auto"/>
        <w:contextualSpacing/>
        <w:rPr>
          <w:rFonts w:eastAsiaTheme="minorHAnsi"/>
          <w:szCs w:val="20"/>
        </w:rPr>
      </w:pPr>
      <w:r w:rsidRPr="00281428">
        <w:rPr>
          <w:rFonts w:eastAsiaTheme="minorHAnsi"/>
          <w:szCs w:val="20"/>
        </w:rPr>
        <w:t xml:space="preserve">These items were designated as a “Voting” items by the Committee at the 2020 NCWM Interim Meeting.  The NCWM was unable to hold an Annual Meeting in July 2020 due to restrictions of the COVID-19 pandemic.  The NCWM was able to hold a virtual Annual Meeting in January 2021 at which it conducted a vote on </w:t>
      </w:r>
      <w:r w:rsidR="00737EF7" w:rsidRPr="00281428">
        <w:rPr>
          <w:rFonts w:eastAsiaTheme="minorHAnsi"/>
          <w:szCs w:val="20"/>
        </w:rPr>
        <w:t xml:space="preserve">the above items </w:t>
      </w:r>
      <w:r w:rsidRPr="00281428">
        <w:rPr>
          <w:rFonts w:eastAsiaTheme="minorHAnsi"/>
          <w:szCs w:val="20"/>
        </w:rPr>
        <w:t>on the Committee’s 2020 Agenda.  These items were supported via a positive vote by those attending that January 2021 meeting.  However, because NCWM bylaws require that official voting occur via in-person voting, the status of these items cannot be designated as “Adopted” until it is confirmed at the NCWM’s next in-person meeting, which is anticipated to be in July 2021.</w:t>
      </w:r>
    </w:p>
    <w:p w14:paraId="6160B963" w14:textId="77777777" w:rsidR="004E33CC" w:rsidRPr="00281428" w:rsidRDefault="004E33CC" w:rsidP="004E33CC">
      <w:pPr>
        <w:suppressLineNumbers/>
        <w:spacing w:after="0"/>
        <w:rPr>
          <w:szCs w:val="20"/>
          <w:lang w:eastAsia="ja-JP"/>
        </w:rPr>
      </w:pPr>
    </w:p>
    <w:p w14:paraId="394E8C13" w14:textId="77777777" w:rsidR="004E33CC" w:rsidRPr="00281428" w:rsidRDefault="004E33CC" w:rsidP="000803DF">
      <w:pPr>
        <w:suppressLineNumbers/>
        <w:spacing w:after="0"/>
        <w:ind w:left="252"/>
        <w:rPr>
          <w:lang w:eastAsia="ja-JP"/>
        </w:rPr>
      </w:pPr>
    </w:p>
    <w:p w14:paraId="2B1504A5" w14:textId="7081A973" w:rsidR="00A8385E" w:rsidRPr="00281428" w:rsidRDefault="0034796B" w:rsidP="000803DF">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1BC6E145" w14:textId="62E159E5" w:rsidR="000A6363" w:rsidRPr="00281428" w:rsidRDefault="00C2460F" w:rsidP="002F0196">
      <w:pPr>
        <w:pStyle w:val="Heading1"/>
        <w:keepNext w:val="0"/>
        <w:keepLines w:val="0"/>
        <w:ind w:left="2880" w:hanging="2880"/>
      </w:pPr>
      <w:bookmarkStart w:id="9" w:name="_Toc65741430"/>
      <w:bookmarkStart w:id="10" w:name="_Hlk523479765"/>
      <w:bookmarkStart w:id="11" w:name="_Hlk61531520"/>
      <w:bookmarkStart w:id="12" w:name="_Hlk497996425"/>
      <w:bookmarkStart w:id="13" w:name="_Toc302379796"/>
      <w:bookmarkStart w:id="14" w:name="_Toc302381449"/>
      <w:bookmarkStart w:id="15" w:name="_Toc302382310"/>
      <w:bookmarkStart w:id="16" w:name="_Toc302382374"/>
      <w:bookmarkStart w:id="17" w:name="_Toc302382670"/>
      <w:bookmarkStart w:id="18" w:name="_Toc302383030"/>
      <w:bookmarkStart w:id="19" w:name="_Toc302383261"/>
      <w:bookmarkStart w:id="20" w:name="_Toc302383542"/>
      <w:r w:rsidRPr="00281428">
        <w:t xml:space="preserve">ITEM </w:t>
      </w:r>
      <w:r w:rsidR="000A6363" w:rsidRPr="00281428">
        <w:t xml:space="preserve">Block </w:t>
      </w:r>
      <w:r w:rsidR="00FD3780" w:rsidRPr="00281428">
        <w:t>1</w:t>
      </w:r>
      <w:r w:rsidR="000A6363" w:rsidRPr="00281428">
        <w:t xml:space="preserve"> (B</w:t>
      </w:r>
      <w:r w:rsidR="00FD3780" w:rsidRPr="00281428">
        <w:t>1</w:t>
      </w:r>
      <w:r w:rsidR="000A6363" w:rsidRPr="00281428">
        <w:t>)</w:t>
      </w:r>
      <w:r w:rsidR="000A6363" w:rsidRPr="00281428">
        <w:tab/>
      </w:r>
      <w:bookmarkStart w:id="21" w:name="_Hlk1735123"/>
      <w:bookmarkStart w:id="22" w:name="_Hlk2064914"/>
      <w:bookmarkStart w:id="23" w:name="_Hlk523818741"/>
      <w:r w:rsidR="00A87894" w:rsidRPr="00281428">
        <w:t>HB</w:t>
      </w:r>
      <w:r w:rsidR="00A87894" w:rsidRPr="00281428">
        <w:rPr>
          <w:rFonts w:hint="eastAsia"/>
        </w:rPr>
        <w:t> </w:t>
      </w:r>
      <w:r w:rsidR="00A87894" w:rsidRPr="00281428">
        <w:t xml:space="preserve">130, UPLR, Sec. 2.8. Multiunit Package.  </w:t>
      </w:r>
      <w:r w:rsidR="00447B41" w:rsidRPr="00281428">
        <w:t>HB 133</w:t>
      </w:r>
      <w:r w:rsidR="00A87894" w:rsidRPr="00281428">
        <w:t xml:space="preserve"> Modify “scope” for Chapters 2 </w:t>
      </w:r>
      <w:bookmarkStart w:id="24" w:name="_Hlk2064745"/>
      <w:r w:rsidR="00A87894" w:rsidRPr="00281428">
        <w:t>–</w:t>
      </w:r>
      <w:bookmarkEnd w:id="24"/>
      <w:r w:rsidR="00A87894" w:rsidRPr="00281428">
        <w:t xml:space="preserve"> 4, </w:t>
      </w:r>
      <w:r w:rsidR="00AF1290" w:rsidRPr="00281428">
        <w:t xml:space="preserve">add a </w:t>
      </w:r>
      <w:r w:rsidR="00A87894" w:rsidRPr="00281428">
        <w:t xml:space="preserve">Note </w:t>
      </w:r>
      <w:r w:rsidR="00B22830" w:rsidRPr="00281428">
        <w:t>following</w:t>
      </w:r>
      <w:r w:rsidR="00A87894" w:rsidRPr="00281428">
        <w:t xml:space="preserve"> Sections 2.3.7.1. and 2.7.3., </w:t>
      </w:r>
      <w:r w:rsidR="00AF6AAB" w:rsidRPr="00281428">
        <w:t>Create</w:t>
      </w:r>
      <w:r w:rsidR="00A87894" w:rsidRPr="00281428">
        <w:t xml:space="preserve"> A Chapter 5. Specialized test Procedures</w:t>
      </w:r>
      <w:bookmarkEnd w:id="21"/>
      <w:r w:rsidR="0015642E" w:rsidRPr="00281428">
        <w:rPr>
          <w:rFonts w:eastAsia="Calibri"/>
        </w:rPr>
        <w:t xml:space="preserve"> </w:t>
      </w:r>
      <w:r w:rsidR="0015642E" w:rsidRPr="00281428">
        <w:t>and HB133 Appendix F. Glossary</w:t>
      </w:r>
      <w:bookmarkEnd w:id="9"/>
      <w:r w:rsidR="0015642E" w:rsidRPr="00281428">
        <w:t xml:space="preserve"> </w:t>
      </w:r>
      <w:r w:rsidR="00A87894" w:rsidRPr="00281428" w:rsidDel="003F7F6D">
        <w:t xml:space="preserve"> </w:t>
      </w:r>
      <w:bookmarkEnd w:id="22"/>
    </w:p>
    <w:p w14:paraId="5C987AAC" w14:textId="7CFDB9F5" w:rsidR="00975370" w:rsidRPr="00281428" w:rsidRDefault="00975370" w:rsidP="002D409F">
      <w:pPr>
        <w:tabs>
          <w:tab w:val="left" w:pos="1440"/>
        </w:tabs>
        <w:spacing w:after="0"/>
        <w:ind w:left="1800" w:hanging="1800"/>
        <w:outlineLvl w:val="3"/>
        <w:rPr>
          <w:rFonts w:eastAsia="Times New Roman"/>
          <w:bCs/>
          <w:iCs/>
        </w:rPr>
      </w:pPr>
      <w:bookmarkStart w:id="25" w:name="_Toc1219538"/>
      <w:bookmarkEnd w:id="23"/>
      <w:r w:rsidRPr="00281428">
        <w:rPr>
          <w:rFonts w:eastAsia="Times New Roman"/>
          <w:bCs/>
          <w:iCs/>
        </w:rPr>
        <w:t>B1: PAL-</w:t>
      </w:r>
      <w:r w:rsidR="00B62BC5" w:rsidRPr="00281428">
        <w:rPr>
          <w:rFonts w:eastAsia="Times New Roman"/>
          <w:bCs/>
          <w:iCs/>
        </w:rPr>
        <w:t>19.</w:t>
      </w:r>
      <w:r w:rsidRPr="00281428">
        <w:rPr>
          <w:rFonts w:eastAsia="Times New Roman"/>
          <w:bCs/>
          <w:iCs/>
        </w:rPr>
        <w:t>1</w:t>
      </w:r>
      <w:r w:rsidRPr="00281428">
        <w:rPr>
          <w:rFonts w:eastAsia="Times New Roman"/>
          <w:bCs/>
          <w:iCs/>
        </w:rPr>
        <w:tab/>
      </w:r>
      <w:r w:rsidR="00BB08FF" w:rsidRPr="00281428">
        <w:rPr>
          <w:rFonts w:eastAsia="Times New Roman"/>
          <w:bCs/>
          <w:iCs/>
        </w:rPr>
        <w:t>I</w:t>
      </w:r>
      <w:r w:rsidRPr="00281428">
        <w:rPr>
          <w:rFonts w:eastAsia="Times New Roman"/>
          <w:bCs/>
          <w:iCs/>
        </w:rPr>
        <w:tab/>
        <w:t>Section 2.8. Multiunit Package</w:t>
      </w:r>
      <w:bookmarkEnd w:id="25"/>
    </w:p>
    <w:p w14:paraId="60A6F312" w14:textId="58FB0506" w:rsidR="00975370" w:rsidRPr="00281428" w:rsidRDefault="00975370" w:rsidP="002F0196">
      <w:pPr>
        <w:tabs>
          <w:tab w:val="left" w:pos="446"/>
          <w:tab w:val="left" w:pos="1440"/>
        </w:tabs>
        <w:spacing w:after="0"/>
        <w:ind w:left="1800" w:hanging="1800"/>
        <w:outlineLvl w:val="3"/>
        <w:rPr>
          <w:rFonts w:eastAsia="Times New Roman"/>
          <w:bCs/>
          <w:iCs/>
        </w:rPr>
      </w:pPr>
      <w:bookmarkStart w:id="26" w:name="_Toc1219539"/>
      <w:r w:rsidRPr="00281428">
        <w:rPr>
          <w:rFonts w:eastAsia="Times New Roman"/>
          <w:bCs/>
          <w:iCs/>
        </w:rPr>
        <w:t>B1: NET-</w:t>
      </w:r>
      <w:r w:rsidR="00B62BC5" w:rsidRPr="00281428">
        <w:rPr>
          <w:rFonts w:eastAsia="Times New Roman"/>
          <w:bCs/>
          <w:iCs/>
        </w:rPr>
        <w:t>19.</w:t>
      </w:r>
      <w:r w:rsidRPr="00281428">
        <w:rPr>
          <w:rFonts w:eastAsia="Times New Roman"/>
          <w:bCs/>
          <w:iCs/>
        </w:rPr>
        <w:t>1</w:t>
      </w:r>
      <w:r w:rsidRPr="00281428">
        <w:rPr>
          <w:rFonts w:eastAsia="Times New Roman"/>
          <w:bCs/>
          <w:iCs/>
        </w:rPr>
        <w:tab/>
      </w:r>
      <w:r w:rsidR="00BB08FF" w:rsidRPr="00281428">
        <w:rPr>
          <w:rFonts w:eastAsia="Times New Roman"/>
          <w:bCs/>
          <w:iCs/>
        </w:rPr>
        <w:t>I</w:t>
      </w:r>
      <w:r w:rsidRPr="00281428">
        <w:rPr>
          <w:rFonts w:eastAsia="Times New Roman"/>
          <w:bCs/>
          <w:iCs/>
        </w:rPr>
        <w:tab/>
        <w:t>Section 1.2.4. Maximum Allowable Variation</w:t>
      </w:r>
      <w:bookmarkEnd w:id="26"/>
    </w:p>
    <w:p w14:paraId="737A88D7" w14:textId="5C0F6FD5" w:rsidR="00A87894" w:rsidRPr="00281428" w:rsidRDefault="00975370" w:rsidP="000803DF">
      <w:pPr>
        <w:keepNext/>
        <w:keepLines/>
        <w:tabs>
          <w:tab w:val="left" w:pos="1440"/>
        </w:tabs>
        <w:spacing w:after="0"/>
        <w:ind w:left="1800" w:hanging="1800"/>
        <w:outlineLvl w:val="3"/>
        <w:rPr>
          <w:rFonts w:eastAsia="Times New Roman"/>
          <w:bCs/>
          <w:iCs/>
        </w:rPr>
      </w:pPr>
      <w:bookmarkStart w:id="27" w:name="_Toc1219540"/>
      <w:r w:rsidRPr="00281428">
        <w:rPr>
          <w:rFonts w:eastAsia="Times New Roman"/>
          <w:bCs/>
          <w:iCs/>
        </w:rPr>
        <w:t>B1: NET-</w:t>
      </w:r>
      <w:r w:rsidR="00B62BC5" w:rsidRPr="00281428">
        <w:rPr>
          <w:rFonts w:eastAsia="Times New Roman"/>
          <w:bCs/>
          <w:iCs/>
        </w:rPr>
        <w:t>19.</w:t>
      </w:r>
      <w:r w:rsidRPr="00281428">
        <w:rPr>
          <w:rFonts w:eastAsia="Times New Roman"/>
          <w:bCs/>
          <w:iCs/>
        </w:rPr>
        <w:t>2</w:t>
      </w:r>
      <w:r w:rsidRPr="00281428">
        <w:rPr>
          <w:rFonts w:eastAsia="Times New Roman"/>
          <w:bCs/>
          <w:iCs/>
        </w:rPr>
        <w:tab/>
      </w:r>
      <w:r w:rsidR="00BB08FF" w:rsidRPr="00281428">
        <w:rPr>
          <w:rFonts w:eastAsia="Times New Roman"/>
          <w:bCs/>
          <w:iCs/>
        </w:rPr>
        <w:t>I</w:t>
      </w:r>
      <w:r w:rsidRPr="00281428">
        <w:rPr>
          <w:rFonts w:eastAsia="Times New Roman"/>
          <w:bCs/>
          <w:iCs/>
        </w:rPr>
        <w:tab/>
      </w:r>
      <w:bookmarkStart w:id="28" w:name="_Hlk2064925"/>
      <w:bookmarkEnd w:id="27"/>
      <w:r w:rsidR="00A87894" w:rsidRPr="00281428">
        <w:rPr>
          <w:rFonts w:eastAsia="Times New Roman"/>
          <w:bCs/>
          <w:iCs/>
        </w:rPr>
        <w:t xml:space="preserve">Modify “Scope” for Chapters 2 – 4, and </w:t>
      </w:r>
      <w:r w:rsidR="00B22830" w:rsidRPr="00281428">
        <w:rPr>
          <w:rFonts w:eastAsia="Times New Roman"/>
          <w:bCs/>
          <w:iCs/>
        </w:rPr>
        <w:t xml:space="preserve">a note following </w:t>
      </w:r>
      <w:r w:rsidR="00A87894" w:rsidRPr="00281428">
        <w:rPr>
          <w:rFonts w:eastAsia="Times New Roman"/>
          <w:bCs/>
          <w:iCs/>
        </w:rPr>
        <w:t xml:space="preserve">Section 2.3.7.1. Maximum Allowable Variation (MAV) Requirement and 2.7.3. Evaluation of </w:t>
      </w:r>
      <w:r w:rsidR="00B22830" w:rsidRPr="00281428">
        <w:rPr>
          <w:rFonts w:eastAsia="Times New Roman"/>
          <w:bCs/>
          <w:iCs/>
        </w:rPr>
        <w:t>Results – Compliance Determinations</w:t>
      </w:r>
      <w:bookmarkEnd w:id="28"/>
    </w:p>
    <w:p w14:paraId="337D39F3" w14:textId="512CDDCA" w:rsidR="00975370" w:rsidRPr="00281428" w:rsidRDefault="00975370" w:rsidP="000803DF">
      <w:pPr>
        <w:keepNext/>
        <w:keepLines/>
        <w:tabs>
          <w:tab w:val="left" w:pos="446"/>
          <w:tab w:val="left" w:pos="1440"/>
        </w:tabs>
        <w:spacing w:after="0"/>
        <w:ind w:left="1800" w:hanging="1800"/>
        <w:outlineLvl w:val="3"/>
        <w:rPr>
          <w:rFonts w:eastAsia="Times New Roman"/>
          <w:bCs/>
          <w:iCs/>
        </w:rPr>
      </w:pPr>
      <w:bookmarkStart w:id="29" w:name="_Toc1219541"/>
      <w:r w:rsidRPr="00281428">
        <w:rPr>
          <w:rFonts w:eastAsia="Times New Roman"/>
          <w:bCs/>
          <w:iCs/>
        </w:rPr>
        <w:t>B1: NET-</w:t>
      </w:r>
      <w:r w:rsidR="00B62BC5" w:rsidRPr="00281428">
        <w:rPr>
          <w:rFonts w:eastAsia="Times New Roman"/>
          <w:bCs/>
          <w:iCs/>
        </w:rPr>
        <w:t>19.</w:t>
      </w:r>
      <w:r w:rsidRPr="00281428">
        <w:rPr>
          <w:rFonts w:eastAsia="Times New Roman"/>
          <w:bCs/>
          <w:iCs/>
        </w:rPr>
        <w:t>3</w:t>
      </w:r>
      <w:r w:rsidRPr="00281428">
        <w:rPr>
          <w:rFonts w:eastAsia="Times New Roman"/>
          <w:bCs/>
          <w:iCs/>
        </w:rPr>
        <w:tab/>
      </w:r>
      <w:r w:rsidR="00BB08FF" w:rsidRPr="00281428">
        <w:rPr>
          <w:rFonts w:eastAsia="Times New Roman"/>
          <w:bCs/>
          <w:iCs/>
        </w:rPr>
        <w:t>I</w:t>
      </w:r>
      <w:r w:rsidRPr="00281428">
        <w:rPr>
          <w:rFonts w:eastAsia="Times New Roman"/>
          <w:bCs/>
          <w:iCs/>
        </w:rPr>
        <w:tab/>
      </w:r>
      <w:r w:rsidR="00AF6AAB" w:rsidRPr="00281428">
        <w:rPr>
          <w:rFonts w:eastAsia="Times New Roman"/>
          <w:bCs/>
          <w:iCs/>
        </w:rPr>
        <w:t>Create</w:t>
      </w:r>
      <w:r w:rsidR="00B22830" w:rsidRPr="00281428">
        <w:rPr>
          <w:rFonts w:eastAsia="Times New Roman"/>
          <w:bCs/>
          <w:iCs/>
        </w:rPr>
        <w:t xml:space="preserve"> a </w:t>
      </w:r>
      <w:r w:rsidRPr="00281428">
        <w:rPr>
          <w:rFonts w:eastAsia="Times New Roman"/>
          <w:bCs/>
          <w:iCs/>
        </w:rPr>
        <w:t>Chapter 5, Specialized Test Procedures</w:t>
      </w:r>
      <w:bookmarkEnd w:id="29"/>
    </w:p>
    <w:p w14:paraId="4BABF27E" w14:textId="106041D5" w:rsidR="007F3711" w:rsidRPr="00281428" w:rsidRDefault="007F3711" w:rsidP="000803DF">
      <w:pPr>
        <w:keepNext/>
        <w:keepLines/>
        <w:tabs>
          <w:tab w:val="left" w:pos="446"/>
          <w:tab w:val="left" w:pos="1440"/>
        </w:tabs>
        <w:ind w:left="1800" w:hanging="1800"/>
        <w:outlineLvl w:val="3"/>
        <w:rPr>
          <w:rFonts w:eastAsia="Times New Roman"/>
          <w:bCs/>
          <w:iCs/>
        </w:rPr>
      </w:pPr>
      <w:r w:rsidRPr="00281428">
        <w:rPr>
          <w:rFonts w:eastAsia="Times New Roman"/>
          <w:bCs/>
          <w:iCs/>
        </w:rPr>
        <w:t>B1: NET-</w:t>
      </w:r>
      <w:r w:rsidR="00B62BC5" w:rsidRPr="00281428">
        <w:rPr>
          <w:rFonts w:eastAsia="Times New Roman"/>
          <w:bCs/>
          <w:iCs/>
        </w:rPr>
        <w:t>19.</w:t>
      </w:r>
      <w:r w:rsidR="00792552" w:rsidRPr="00281428">
        <w:rPr>
          <w:rFonts w:eastAsia="Times New Roman"/>
          <w:bCs/>
          <w:iCs/>
        </w:rPr>
        <w:t>4</w:t>
      </w:r>
      <w:r w:rsidRPr="00281428">
        <w:rPr>
          <w:rFonts w:eastAsia="Times New Roman"/>
          <w:bCs/>
          <w:iCs/>
        </w:rPr>
        <w:tab/>
      </w:r>
      <w:r w:rsidR="00BB08FF" w:rsidRPr="00281428">
        <w:rPr>
          <w:rFonts w:eastAsia="Times New Roman"/>
          <w:bCs/>
          <w:iCs/>
        </w:rPr>
        <w:t>I</w:t>
      </w:r>
      <w:r w:rsidRPr="00281428">
        <w:rPr>
          <w:rFonts w:eastAsia="Times New Roman"/>
          <w:bCs/>
          <w:iCs/>
        </w:rPr>
        <w:tab/>
        <w:t>Appendix F. Glossary</w:t>
      </w:r>
    </w:p>
    <w:p w14:paraId="72B1C68C" w14:textId="58F5A174" w:rsidR="00AF6AAB" w:rsidRPr="00281428" w:rsidRDefault="00AF6AAB" w:rsidP="000803DF">
      <w:pPr>
        <w:keepNext/>
        <w:keepLines/>
        <w:tabs>
          <w:tab w:val="left" w:pos="0"/>
          <w:tab w:val="left" w:pos="446"/>
          <w:tab w:val="left" w:pos="1440"/>
        </w:tabs>
        <w:outlineLvl w:val="3"/>
        <w:rPr>
          <w:rFonts w:eastAsia="Times New Roman"/>
          <w:b/>
          <w:bCs/>
          <w:iCs/>
        </w:rPr>
      </w:pPr>
      <w:r w:rsidRPr="00281428">
        <w:rPr>
          <w:rFonts w:eastAsia="Times New Roman"/>
          <w:b/>
          <w:bCs/>
          <w:iCs/>
        </w:rPr>
        <w:t>(B1:NET-</w:t>
      </w:r>
      <w:r w:rsidR="006A678F" w:rsidRPr="00281428">
        <w:rPr>
          <w:rFonts w:eastAsia="Times New Roman"/>
          <w:b/>
          <w:bCs/>
          <w:iCs/>
        </w:rPr>
        <w:t>19.</w:t>
      </w:r>
      <w:r w:rsidRPr="00281428">
        <w:rPr>
          <w:rFonts w:eastAsia="Times New Roman"/>
          <w:b/>
          <w:bCs/>
          <w:iCs/>
        </w:rPr>
        <w:t xml:space="preserve">3, “Handbook 133, Create a Chapter 5. Specialized Test Procedures” must be adopted </w:t>
      </w:r>
      <w:proofErr w:type="gramStart"/>
      <w:r w:rsidRPr="00281428">
        <w:rPr>
          <w:rFonts w:eastAsia="Times New Roman"/>
          <w:b/>
          <w:bCs/>
          <w:iCs/>
        </w:rPr>
        <w:t>in order for</w:t>
      </w:r>
      <w:proofErr w:type="gramEnd"/>
      <w:r w:rsidRPr="00281428">
        <w:rPr>
          <w:rFonts w:eastAsia="Times New Roman"/>
          <w:b/>
          <w:bCs/>
          <w:iCs/>
        </w:rPr>
        <w:t xml:space="preserve"> the remainder of Item Block 1 to proceed.)</w:t>
      </w:r>
    </w:p>
    <w:p w14:paraId="36701D0F" w14:textId="4B73AFDA" w:rsidR="000A6363" w:rsidRPr="00281428" w:rsidRDefault="000A6363" w:rsidP="00792552">
      <w:pPr>
        <w:pStyle w:val="ItemHeading"/>
        <w:keepNext w:val="0"/>
        <w:keepLines w:val="0"/>
        <w:tabs>
          <w:tab w:val="left" w:pos="1800"/>
        </w:tabs>
      </w:pPr>
      <w:bookmarkStart w:id="30" w:name="_Toc65741431"/>
      <w:r w:rsidRPr="00281428">
        <w:t>B</w:t>
      </w:r>
      <w:r w:rsidR="00FD3780" w:rsidRPr="00281428">
        <w:t>1: PAL-</w:t>
      </w:r>
      <w:r w:rsidR="00B841BE" w:rsidRPr="00281428">
        <w:t>19.</w:t>
      </w:r>
      <w:r w:rsidR="00FD3780" w:rsidRPr="00281428">
        <w:t>1</w:t>
      </w:r>
      <w:r w:rsidRPr="00281428">
        <w:tab/>
      </w:r>
      <w:r w:rsidR="00BB08FF" w:rsidRPr="00281428">
        <w:t>I</w:t>
      </w:r>
      <w:r w:rsidRPr="00281428">
        <w:tab/>
      </w:r>
      <w:bookmarkStart w:id="31" w:name="_Hlk523480602"/>
      <w:r w:rsidRPr="00281428">
        <w:t>Section 2.8. Multiunit Package</w:t>
      </w:r>
      <w:bookmarkEnd w:id="30"/>
      <w:bookmarkEnd w:id="31"/>
    </w:p>
    <w:bookmarkEnd w:id="10"/>
    <w:p w14:paraId="64FDE19D" w14:textId="77777777" w:rsidR="00C2460F" w:rsidRPr="00281428" w:rsidRDefault="00C2460F" w:rsidP="00792552">
      <w:pPr>
        <w:spacing w:after="0"/>
        <w:rPr>
          <w:b/>
        </w:rPr>
      </w:pPr>
      <w:r w:rsidRPr="00281428">
        <w:rPr>
          <w:b/>
        </w:rPr>
        <w:t>Source:</w:t>
      </w:r>
    </w:p>
    <w:p w14:paraId="7AC53F84" w14:textId="29040421" w:rsidR="00C2460F" w:rsidRPr="00281428" w:rsidRDefault="00C2460F" w:rsidP="00792552">
      <w:r w:rsidRPr="00281428">
        <w:rPr>
          <w:szCs w:val="20"/>
        </w:rPr>
        <w:t xml:space="preserve">NIST </w:t>
      </w:r>
      <w:r w:rsidR="00A00E0F">
        <w:rPr>
          <w:szCs w:val="20"/>
        </w:rPr>
        <w:t>Office of Weights and Measures</w:t>
      </w:r>
      <w:r w:rsidRPr="00281428">
        <w:t xml:space="preserve"> </w:t>
      </w:r>
    </w:p>
    <w:p w14:paraId="061797A7" w14:textId="6D0D7F38" w:rsidR="000A6363" w:rsidRPr="00281428" w:rsidRDefault="000A6363" w:rsidP="00792552">
      <w:pPr>
        <w:spacing w:after="0"/>
        <w:rPr>
          <w:b/>
        </w:rPr>
      </w:pPr>
      <w:r w:rsidRPr="00281428">
        <w:rPr>
          <w:b/>
        </w:rPr>
        <w:t>Purpose:</w:t>
      </w:r>
    </w:p>
    <w:p w14:paraId="522194EB" w14:textId="072F0B20" w:rsidR="000A6363" w:rsidRPr="00281428" w:rsidRDefault="000A6363" w:rsidP="00792552">
      <w:pPr>
        <w:pStyle w:val="I-Normal1indent"/>
        <w:ind w:left="0"/>
        <w:rPr>
          <w:szCs w:val="24"/>
        </w:rPr>
      </w:pPr>
      <w:r w:rsidRPr="00281428">
        <w:rPr>
          <w:szCs w:val="24"/>
        </w:rPr>
        <w:t>Eliminate conflicts between the UPLR and Federal Trade Commission (FTC) regulation for multiunit packages cited in 16 CFR 500.27.</w:t>
      </w:r>
    </w:p>
    <w:p w14:paraId="6D5ADE80" w14:textId="77777777" w:rsidR="000A6363" w:rsidRPr="00281428" w:rsidRDefault="000A6363" w:rsidP="00792552">
      <w:pPr>
        <w:pStyle w:val="I-Normal1indent"/>
        <w:spacing w:after="0"/>
        <w:ind w:left="0"/>
        <w:rPr>
          <w:b/>
          <w:szCs w:val="20"/>
        </w:rPr>
      </w:pPr>
      <w:r w:rsidRPr="00281428">
        <w:rPr>
          <w:b/>
          <w:szCs w:val="20"/>
        </w:rPr>
        <w:t xml:space="preserve">Item </w:t>
      </w:r>
      <w:r w:rsidR="007F15C4" w:rsidRPr="00281428">
        <w:rPr>
          <w:b/>
          <w:szCs w:val="20"/>
        </w:rPr>
        <w:t>U</w:t>
      </w:r>
      <w:r w:rsidRPr="00281428">
        <w:rPr>
          <w:b/>
          <w:szCs w:val="20"/>
        </w:rPr>
        <w:t>nder Consideration:</w:t>
      </w:r>
    </w:p>
    <w:p w14:paraId="5216BA40" w14:textId="19D9349C" w:rsidR="000A6363" w:rsidRPr="00281428" w:rsidRDefault="000A6363" w:rsidP="00792552">
      <w:r w:rsidRPr="00281428">
        <w:t>Amend Handbook 130, Uniform Packaging and Labeling Regulation as follows:</w:t>
      </w:r>
    </w:p>
    <w:p w14:paraId="1C0E415A" w14:textId="029E06CC" w:rsidR="00E36CAC" w:rsidRPr="00281428" w:rsidRDefault="000A6363" w:rsidP="00792552">
      <w:pPr>
        <w:spacing w:after="200"/>
      </w:pPr>
      <w:bookmarkStart w:id="32" w:name="_Hlk523132028"/>
      <w:r w:rsidRPr="00281428">
        <w:rPr>
          <w:b/>
          <w:szCs w:val="24"/>
        </w:rPr>
        <w:t>2.8.  Multiunit Package</w:t>
      </w:r>
      <w:r w:rsidRPr="00281428">
        <w:rPr>
          <w:szCs w:val="24"/>
        </w:rPr>
        <w:t xml:space="preserve">. </w:t>
      </w:r>
      <w:r w:rsidR="00792552" w:rsidRPr="00281428">
        <w:rPr>
          <w:szCs w:val="24"/>
        </w:rPr>
        <w:sym w:font="Symbol" w:char="F02D"/>
      </w:r>
      <w:r w:rsidRPr="00281428">
        <w:rPr>
          <w:szCs w:val="24"/>
        </w:rPr>
        <w:t xml:space="preserve"> A package containing two or more individual packages of the same commodity, in the same quantity, intended to be sold as a multiunit package</w:t>
      </w:r>
      <w:r w:rsidRPr="00281428">
        <w:rPr>
          <w:b/>
          <w:strike/>
          <w:szCs w:val="24"/>
        </w:rPr>
        <w:t>., but where the component packages are labeled individually in full compliance with all requirements of this regulation.</w:t>
      </w:r>
      <w:bookmarkEnd w:id="32"/>
    </w:p>
    <w:p w14:paraId="4C042E8A" w14:textId="35946919" w:rsidR="000A6363" w:rsidRPr="00281428" w:rsidRDefault="000A6363" w:rsidP="00792552">
      <w:pPr>
        <w:pStyle w:val="ItemHeading"/>
        <w:keepNext w:val="0"/>
        <w:keepLines w:val="0"/>
        <w:tabs>
          <w:tab w:val="clear" w:pos="900"/>
          <w:tab w:val="left" w:pos="990"/>
          <w:tab w:val="left" w:pos="2070"/>
          <w:tab w:val="left" w:pos="2340"/>
        </w:tabs>
        <w:ind w:left="1620" w:hanging="1620"/>
      </w:pPr>
      <w:bookmarkStart w:id="33" w:name="_Toc65741432"/>
      <w:bookmarkStart w:id="34" w:name="_Hlk523480740"/>
      <w:r w:rsidRPr="00281428">
        <w:t>B</w:t>
      </w:r>
      <w:r w:rsidR="00FD3780" w:rsidRPr="00281428">
        <w:t>1: NET-</w:t>
      </w:r>
      <w:r w:rsidR="00B62BC5" w:rsidRPr="00281428">
        <w:t>19.</w:t>
      </w:r>
      <w:r w:rsidR="00FD3780" w:rsidRPr="00281428">
        <w:t>1</w:t>
      </w:r>
      <w:r w:rsidRPr="00281428">
        <w:tab/>
      </w:r>
      <w:r w:rsidR="00BB08FF" w:rsidRPr="00281428">
        <w:t>I</w:t>
      </w:r>
      <w:r w:rsidRPr="00281428">
        <w:tab/>
        <w:t>Section 1.2.4. Maximum Allowable Variation</w:t>
      </w:r>
      <w:bookmarkEnd w:id="33"/>
    </w:p>
    <w:bookmarkEnd w:id="34"/>
    <w:p w14:paraId="577A3F52" w14:textId="77777777" w:rsidR="000A6363" w:rsidRPr="00281428" w:rsidRDefault="000A6363" w:rsidP="00792552">
      <w:pPr>
        <w:spacing w:after="0"/>
        <w:rPr>
          <w:b/>
        </w:rPr>
      </w:pPr>
      <w:r w:rsidRPr="00281428">
        <w:rPr>
          <w:b/>
        </w:rPr>
        <w:t>Purpose:</w:t>
      </w:r>
    </w:p>
    <w:p w14:paraId="07DC08CE" w14:textId="0DB8A77C" w:rsidR="000A6363" w:rsidRPr="00281428" w:rsidRDefault="006C28EC" w:rsidP="00792552">
      <w:pPr>
        <w:rPr>
          <w:b/>
        </w:rPr>
      </w:pPr>
      <w:r w:rsidRPr="00281428">
        <w:rPr>
          <w:szCs w:val="24"/>
        </w:rPr>
        <w:t xml:space="preserve">Amend </w:t>
      </w:r>
      <w:r w:rsidR="000A6363" w:rsidRPr="00281428">
        <w:rPr>
          <w:szCs w:val="24"/>
        </w:rPr>
        <w:t>language regarding the total quantity declaration on multiunit or variety packages, when the MAV may need to be recalculated based on the Total Quantity MAV.</w:t>
      </w:r>
    </w:p>
    <w:p w14:paraId="1F4A7C69" w14:textId="77777777" w:rsidR="000A6363" w:rsidRPr="00281428" w:rsidRDefault="000A6363" w:rsidP="000803DF">
      <w:pPr>
        <w:pStyle w:val="I-Normal1indent"/>
        <w:spacing w:after="0"/>
        <w:ind w:left="0"/>
        <w:rPr>
          <w:b/>
          <w:szCs w:val="20"/>
        </w:rPr>
      </w:pPr>
      <w:r w:rsidRPr="00281428">
        <w:rPr>
          <w:b/>
          <w:szCs w:val="20"/>
        </w:rPr>
        <w:t xml:space="preserve">Item </w:t>
      </w:r>
      <w:r w:rsidR="007F15C4" w:rsidRPr="00281428">
        <w:rPr>
          <w:b/>
          <w:szCs w:val="20"/>
        </w:rPr>
        <w:t>U</w:t>
      </w:r>
      <w:r w:rsidRPr="00281428">
        <w:rPr>
          <w:b/>
          <w:szCs w:val="20"/>
        </w:rPr>
        <w:t>nder Consideration:</w:t>
      </w:r>
    </w:p>
    <w:p w14:paraId="07939D1E" w14:textId="3CC3F168" w:rsidR="000A6363" w:rsidRPr="00281428" w:rsidRDefault="000A6363" w:rsidP="000803DF">
      <w:r w:rsidRPr="00281428">
        <w:t>Amend Handbook 133, Chapter 1 as follows:</w:t>
      </w:r>
    </w:p>
    <w:p w14:paraId="44FF3AA0" w14:textId="063F6A00" w:rsidR="000A6363" w:rsidRPr="00281428" w:rsidRDefault="000A6363" w:rsidP="000803DF">
      <w:pPr>
        <w:ind w:left="360"/>
        <w:rPr>
          <w:b/>
          <w:szCs w:val="20"/>
        </w:rPr>
      </w:pPr>
      <w:bookmarkStart w:id="35" w:name="_Toc496108464"/>
      <w:bookmarkStart w:id="36" w:name="_Toc464123757"/>
      <w:bookmarkStart w:id="37" w:name="_Toc464111560"/>
      <w:bookmarkStart w:id="38" w:name="_Toc291667159"/>
      <w:bookmarkStart w:id="39" w:name="_Toc325575121"/>
      <w:bookmarkStart w:id="40" w:name="_Toc237428842"/>
      <w:bookmarkStart w:id="41" w:name="_Toc446212148"/>
      <w:r w:rsidRPr="00281428">
        <w:rPr>
          <w:b/>
        </w:rPr>
        <w:t xml:space="preserve">1.2.4. </w:t>
      </w:r>
      <w:r w:rsidR="00C2460F" w:rsidRPr="00281428">
        <w:rPr>
          <w:b/>
        </w:rPr>
        <w:t xml:space="preserve"> </w:t>
      </w:r>
      <w:r w:rsidRPr="00281428">
        <w:rPr>
          <w:b/>
        </w:rPr>
        <w:t>Maximum Allowable Variation</w:t>
      </w:r>
      <w:bookmarkEnd w:id="35"/>
      <w:bookmarkEnd w:id="36"/>
      <w:bookmarkEnd w:id="37"/>
      <w:bookmarkEnd w:id="38"/>
      <w:bookmarkEnd w:id="39"/>
      <w:bookmarkEnd w:id="40"/>
      <w:bookmarkEnd w:id="41"/>
    </w:p>
    <w:p w14:paraId="31D4E2AF" w14:textId="77777777" w:rsidR="005E19D3" w:rsidRPr="00281428" w:rsidRDefault="000A6363" w:rsidP="005E19D3">
      <w:pPr>
        <w:ind w:left="360"/>
      </w:pPr>
      <w:r w:rsidRPr="00281428">
        <w:t xml:space="preserve">The limit of the “reasonable minus variation” for an under filled package is called a “Maximum Allowable Variation” (MAV).  An MAV is a deviation from the labeled weight, measure, or count of an individual package beyond which the deficiency is considered an unreasonable minus error.  Each sampling plan limits the number of negative package errors permitted to be greater than the MAV. </w:t>
      </w:r>
    </w:p>
    <w:p w14:paraId="25E3DB56" w14:textId="1D28167F" w:rsidR="005E19D3" w:rsidRPr="00281428" w:rsidRDefault="000A6363" w:rsidP="005E19D3">
      <w:pPr>
        <w:ind w:left="360"/>
        <w:rPr>
          <w:b/>
          <w:szCs w:val="24"/>
          <w:u w:val="single"/>
        </w:rPr>
      </w:pPr>
      <w:r w:rsidRPr="00281428">
        <w:rPr>
          <w:b/>
          <w:szCs w:val="24"/>
          <w:u w:val="single"/>
        </w:rPr>
        <w:lastRenderedPageBreak/>
        <w:t xml:space="preserve">Packages </w:t>
      </w:r>
      <w:r w:rsidR="005E19D3" w:rsidRPr="00281428">
        <w:rPr>
          <w:b/>
          <w:szCs w:val="24"/>
          <w:u w:val="single"/>
        </w:rPr>
        <w:t xml:space="preserve">may be </w:t>
      </w:r>
      <w:r w:rsidRPr="00281428">
        <w:rPr>
          <w:b/>
          <w:szCs w:val="24"/>
          <w:u w:val="single"/>
        </w:rPr>
        <w:t xml:space="preserve">offered for sale individually or </w:t>
      </w:r>
      <w:r w:rsidR="00375815" w:rsidRPr="00281428">
        <w:rPr>
          <w:b/>
          <w:szCs w:val="24"/>
          <w:u w:val="single"/>
        </w:rPr>
        <w:t xml:space="preserve">offered for sale </w:t>
      </w:r>
      <w:r w:rsidRPr="00281428">
        <w:rPr>
          <w:b/>
          <w:szCs w:val="24"/>
          <w:u w:val="single"/>
        </w:rPr>
        <w:t xml:space="preserve">in multiunit packages </w:t>
      </w:r>
      <w:r w:rsidR="00375815" w:rsidRPr="00281428">
        <w:rPr>
          <w:b/>
          <w:szCs w:val="24"/>
          <w:u w:val="single"/>
        </w:rPr>
        <w:t xml:space="preserve">or variety packages </w:t>
      </w:r>
      <w:r w:rsidRPr="00281428">
        <w:rPr>
          <w:b/>
          <w:szCs w:val="24"/>
          <w:u w:val="single"/>
        </w:rPr>
        <w:t xml:space="preserve">which contain two or more individual inner packages.  </w:t>
      </w:r>
    </w:p>
    <w:p w14:paraId="1B2A2235" w14:textId="1329D432" w:rsidR="005E19D3" w:rsidRPr="00281428" w:rsidRDefault="000A6363" w:rsidP="005E19D3">
      <w:pPr>
        <w:ind w:left="360"/>
        <w:rPr>
          <w:b/>
          <w:szCs w:val="24"/>
          <w:u w:val="single"/>
        </w:rPr>
      </w:pPr>
      <w:r w:rsidRPr="00281428">
        <w:rPr>
          <w:b/>
          <w:szCs w:val="24"/>
          <w:u w:val="single"/>
        </w:rPr>
        <w:t xml:space="preserve">When packages are </w:t>
      </w:r>
      <w:r w:rsidR="001706B2" w:rsidRPr="00281428">
        <w:rPr>
          <w:b/>
          <w:szCs w:val="24"/>
          <w:u w:val="single"/>
        </w:rPr>
        <w:t>tested</w:t>
      </w:r>
      <w:r w:rsidRPr="00281428">
        <w:rPr>
          <w:b/>
          <w:szCs w:val="24"/>
          <w:u w:val="single"/>
        </w:rPr>
        <w:t xml:space="preserve"> </w:t>
      </w:r>
      <w:r w:rsidR="00375815" w:rsidRPr="00281428">
        <w:rPr>
          <w:b/>
          <w:szCs w:val="24"/>
          <w:u w:val="single"/>
        </w:rPr>
        <w:t>whether individual, multiunit</w:t>
      </w:r>
      <w:r w:rsidR="001706B2" w:rsidRPr="00281428">
        <w:rPr>
          <w:b/>
          <w:szCs w:val="24"/>
          <w:u w:val="single"/>
        </w:rPr>
        <w:t>,</w:t>
      </w:r>
      <w:r w:rsidR="00375815" w:rsidRPr="00281428">
        <w:rPr>
          <w:b/>
          <w:szCs w:val="24"/>
          <w:u w:val="single"/>
        </w:rPr>
        <w:t xml:space="preserve"> or variety packages, </w:t>
      </w:r>
      <w:r w:rsidRPr="00281428">
        <w:rPr>
          <w:b/>
          <w:szCs w:val="24"/>
          <w:u w:val="single"/>
        </w:rPr>
        <w:t>the MAV is applied to each package in the sample which has a minus package error.</w:t>
      </w:r>
    </w:p>
    <w:p w14:paraId="0E78E4D8" w14:textId="17EA322B" w:rsidR="000A6363" w:rsidRPr="00281428" w:rsidRDefault="000A6363" w:rsidP="00A96162">
      <w:pPr>
        <w:ind w:left="360"/>
      </w:pPr>
      <w:r w:rsidRPr="00281428">
        <w:rPr>
          <w:b/>
          <w:szCs w:val="24"/>
          <w:u w:val="single"/>
        </w:rPr>
        <w:t xml:space="preserve">When a total quantity declaration on a multiunit or variety package is </w:t>
      </w:r>
      <w:r w:rsidR="001706B2" w:rsidRPr="00281428">
        <w:rPr>
          <w:b/>
          <w:szCs w:val="24"/>
          <w:u w:val="single"/>
        </w:rPr>
        <w:t xml:space="preserve">being </w:t>
      </w:r>
      <w:r w:rsidRPr="00281428">
        <w:rPr>
          <w:b/>
          <w:szCs w:val="24"/>
          <w:u w:val="single"/>
        </w:rPr>
        <w:t xml:space="preserve">verified, and the MAV is not determined in terms of a percent of the labeled quantity, a “Total Quantity MAV” is compared to </w:t>
      </w:r>
      <w:r w:rsidR="001706B2" w:rsidRPr="00281428">
        <w:rPr>
          <w:b/>
          <w:szCs w:val="24"/>
          <w:u w:val="single"/>
        </w:rPr>
        <w:t>each</w:t>
      </w:r>
      <w:r w:rsidRPr="00281428">
        <w:rPr>
          <w:b/>
          <w:szCs w:val="24"/>
          <w:u w:val="single"/>
        </w:rPr>
        <w:t xml:space="preserve"> minus Total Quantity Package Error(s) to determine if </w:t>
      </w:r>
      <w:r w:rsidR="001706B2" w:rsidRPr="00281428">
        <w:rPr>
          <w:b/>
          <w:szCs w:val="24"/>
          <w:u w:val="single"/>
        </w:rPr>
        <w:t>it is</w:t>
      </w:r>
      <w:r w:rsidRPr="00281428">
        <w:rPr>
          <w:b/>
          <w:szCs w:val="24"/>
          <w:u w:val="single"/>
        </w:rPr>
        <w:t xml:space="preserve"> unreasonable. </w:t>
      </w:r>
    </w:p>
    <w:p w14:paraId="64B14272" w14:textId="77777777" w:rsidR="000A6363" w:rsidRPr="00281428" w:rsidRDefault="000A6363" w:rsidP="000803DF">
      <w:pPr>
        <w:autoSpaceDE w:val="0"/>
        <w:spacing w:after="0"/>
        <w:ind w:left="360"/>
        <w:jc w:val="center"/>
      </w:pPr>
      <w:r w:rsidRPr="00281428">
        <w:rPr>
          <w:b/>
          <w:i/>
          <w:szCs w:val="24"/>
          <w:u w:val="single"/>
        </w:rPr>
        <w:t>Total Quantity Package Error = Sum of Individual Inner Package Errors</w:t>
      </w:r>
    </w:p>
    <w:p w14:paraId="7F4EFE61" w14:textId="6E4B3CED" w:rsidR="000A6363" w:rsidRPr="00281428" w:rsidRDefault="000A6363" w:rsidP="000803DF">
      <w:pPr>
        <w:autoSpaceDE w:val="0"/>
        <w:spacing w:before="60"/>
        <w:ind w:left="360"/>
      </w:pPr>
      <w:r w:rsidRPr="00281428">
        <w:t>(Amended 2010</w:t>
      </w:r>
      <w:r w:rsidRPr="00281428">
        <w:rPr>
          <w:b/>
          <w:u w:val="single"/>
        </w:rPr>
        <w:t xml:space="preserve"> and 20XX</w:t>
      </w:r>
      <w:r w:rsidRPr="00281428">
        <w:t>)</w:t>
      </w:r>
    </w:p>
    <w:p w14:paraId="3AE7AAA7" w14:textId="037CE897" w:rsidR="00824BE1" w:rsidRPr="00281428" w:rsidRDefault="00824BE1" w:rsidP="00824BE1">
      <w:pPr>
        <w:autoSpaceDE w:val="0"/>
        <w:spacing w:before="60"/>
        <w:ind w:left="360"/>
        <w:rPr>
          <w:b/>
          <w:bCs/>
          <w:color w:val="000000" w:themeColor="text1"/>
          <w:u w:val="single"/>
        </w:rPr>
      </w:pPr>
      <w:r w:rsidRPr="00281428">
        <w:rPr>
          <w:b/>
          <w:bCs/>
          <w:color w:val="000000" w:themeColor="text1"/>
          <w:u w:val="single"/>
        </w:rPr>
        <w:t xml:space="preserve">Before determining the MAV and proceeding with tests of the quantity of contents in any multiunit or variety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  </w:t>
      </w:r>
    </w:p>
    <w:p w14:paraId="1481CFD1" w14:textId="160ABD87" w:rsidR="000A6363" w:rsidRPr="00281428" w:rsidRDefault="000A6363" w:rsidP="000803DF">
      <w:pPr>
        <w:ind w:left="720"/>
        <w:rPr>
          <w:b/>
          <w:szCs w:val="24"/>
          <w:u w:val="single"/>
        </w:rPr>
      </w:pPr>
      <w:r w:rsidRPr="00281428">
        <w:rPr>
          <w:b/>
          <w:szCs w:val="24"/>
          <w:u w:val="single"/>
        </w:rPr>
        <w:t>1.2.4.1.  Total Quantity MAV for Multiunit and Variety Packages (See Chapter 5. “Specialized Test Procedures”)</w:t>
      </w:r>
    </w:p>
    <w:p w14:paraId="530E5313" w14:textId="3A0B3C8F" w:rsidR="000A6363" w:rsidRPr="00281428" w:rsidRDefault="000A6363" w:rsidP="000803DF">
      <w:pPr>
        <w:ind w:left="1440" w:hanging="360"/>
        <w:rPr>
          <w:b/>
          <w:szCs w:val="20"/>
          <w:u w:val="single"/>
        </w:rPr>
      </w:pPr>
      <w:r w:rsidRPr="00281428">
        <w:rPr>
          <w:b/>
          <w:szCs w:val="20"/>
          <w:u w:val="single"/>
        </w:rPr>
        <w:t>a.</w:t>
      </w:r>
      <w:r w:rsidRPr="00281428">
        <w:rPr>
          <w:szCs w:val="20"/>
        </w:rPr>
        <w:tab/>
      </w:r>
      <w:r w:rsidRPr="00281428">
        <w:rPr>
          <w:b/>
          <w:szCs w:val="20"/>
          <w:u w:val="single"/>
        </w:rPr>
        <w:t>Multiunit Package</w:t>
      </w:r>
      <w:bookmarkStart w:id="42" w:name="_Hlk523125157"/>
      <w:bookmarkStart w:id="43" w:name="_Hlk517701563"/>
      <w:r w:rsidRPr="00281428">
        <w:rPr>
          <w:b/>
          <w:szCs w:val="20"/>
          <w:u w:val="single"/>
        </w:rPr>
        <w:t xml:space="preserve">. – </w:t>
      </w:r>
      <w:bookmarkStart w:id="44" w:name="_Hlk62820915"/>
      <w:bookmarkEnd w:id="42"/>
      <w:r w:rsidR="001706B2" w:rsidRPr="00281428">
        <w:rPr>
          <w:b/>
          <w:szCs w:val="20"/>
          <w:u w:val="single"/>
        </w:rPr>
        <w:t xml:space="preserve">In verifying </w:t>
      </w:r>
      <w:bookmarkEnd w:id="44"/>
      <w:r w:rsidR="00824BE1" w:rsidRPr="00281428">
        <w:rPr>
          <w:b/>
          <w:szCs w:val="20"/>
          <w:u w:val="single"/>
        </w:rPr>
        <w:t xml:space="preserve">a </w:t>
      </w:r>
      <w:r w:rsidRPr="00281428">
        <w:rPr>
          <w:b/>
          <w:szCs w:val="20"/>
          <w:u w:val="single"/>
        </w:rPr>
        <w:t xml:space="preserve">total quantity declaration </w:t>
      </w:r>
      <w:r w:rsidR="003232B5" w:rsidRPr="00281428">
        <w:rPr>
          <w:b/>
          <w:szCs w:val="20"/>
          <w:u w:val="single"/>
        </w:rPr>
        <w:t xml:space="preserve">that </w:t>
      </w:r>
      <w:r w:rsidRPr="00281428">
        <w:rPr>
          <w:b/>
          <w:szCs w:val="20"/>
          <w:u w:val="single"/>
        </w:rPr>
        <w:t xml:space="preserve">appears on a multiunit package compare a Total Quantity MAV to each minus Total Quantity Package Error to determine if the error is unreasonable.  Calculate the Total Quantity MAV using the following formula: </w:t>
      </w:r>
    </w:p>
    <w:p w14:paraId="6795EB0C" w14:textId="77777777" w:rsidR="000A6363" w:rsidRPr="00281428" w:rsidRDefault="000A6363" w:rsidP="00A96162">
      <w:pPr>
        <w:ind w:left="1440"/>
        <w:jc w:val="center"/>
        <w:rPr>
          <w:b/>
          <w:i/>
          <w:szCs w:val="20"/>
          <w:u w:val="single"/>
        </w:rPr>
      </w:pPr>
      <w:r w:rsidRPr="00281428">
        <w:rPr>
          <w:b/>
          <w:i/>
          <w:szCs w:val="20"/>
          <w:u w:val="single"/>
        </w:rPr>
        <w:t>Total Quantity MAV = Number of Individual Inner Packages × MAV for Individual Inner Package Quantity</w:t>
      </w:r>
    </w:p>
    <w:p w14:paraId="7D6721D1" w14:textId="77777777" w:rsidR="000A6363" w:rsidRPr="00281428" w:rsidRDefault="000A6363" w:rsidP="00A96162">
      <w:pPr>
        <w:ind w:left="1440"/>
        <w:rPr>
          <w:b/>
          <w:szCs w:val="20"/>
          <w:u w:val="single"/>
        </w:rPr>
      </w:pPr>
      <w:r w:rsidRPr="00281428">
        <w:rPr>
          <w:b/>
          <w:szCs w:val="20"/>
          <w:u w:val="single"/>
        </w:rPr>
        <w:t>Terms are defined as:</w:t>
      </w:r>
    </w:p>
    <w:p w14:paraId="788955CB" w14:textId="579D04EE" w:rsidR="000A6363" w:rsidRPr="00281428" w:rsidRDefault="000A6363" w:rsidP="00A96162">
      <w:pPr>
        <w:ind w:left="1440"/>
        <w:rPr>
          <w:b/>
          <w:szCs w:val="20"/>
          <w:u w:val="single"/>
        </w:rPr>
      </w:pPr>
      <w:r w:rsidRPr="00281428">
        <w:rPr>
          <w:b/>
          <w:szCs w:val="20"/>
          <w:u w:val="single"/>
        </w:rPr>
        <w:t xml:space="preserve">Number of Individual Inner Packages. – The total number </w:t>
      </w:r>
      <w:r w:rsidR="003232B5" w:rsidRPr="00281428">
        <w:rPr>
          <w:b/>
          <w:szCs w:val="20"/>
          <w:u w:val="single"/>
        </w:rPr>
        <w:t xml:space="preserve">of </w:t>
      </w:r>
      <w:r w:rsidRPr="00281428">
        <w:rPr>
          <w:b/>
          <w:szCs w:val="20"/>
          <w:u w:val="single"/>
        </w:rPr>
        <w:t xml:space="preserve">individual inner packages having </w:t>
      </w:r>
      <w:r w:rsidR="003232B5" w:rsidRPr="00281428">
        <w:rPr>
          <w:b/>
          <w:szCs w:val="20"/>
          <w:u w:val="single"/>
        </w:rPr>
        <w:t xml:space="preserve">a </w:t>
      </w:r>
      <w:r w:rsidRPr="00281428">
        <w:rPr>
          <w:b/>
          <w:szCs w:val="20"/>
          <w:u w:val="single"/>
        </w:rPr>
        <w:t xml:space="preserve">uniform </w:t>
      </w:r>
      <w:r w:rsidR="003232B5" w:rsidRPr="00281428">
        <w:rPr>
          <w:b/>
          <w:szCs w:val="20"/>
          <w:u w:val="single"/>
        </w:rPr>
        <w:t xml:space="preserve">labeled </w:t>
      </w:r>
      <w:r w:rsidRPr="00281428">
        <w:rPr>
          <w:b/>
          <w:szCs w:val="20"/>
          <w:u w:val="single"/>
        </w:rPr>
        <w:t>weight, measure and</w:t>
      </w:r>
      <w:r w:rsidR="005E19D3" w:rsidRPr="00281428">
        <w:rPr>
          <w:b/>
          <w:szCs w:val="20"/>
          <w:u w:val="single"/>
        </w:rPr>
        <w:t>/</w:t>
      </w:r>
      <w:r w:rsidRPr="00281428">
        <w:rPr>
          <w:b/>
          <w:szCs w:val="20"/>
          <w:u w:val="single"/>
        </w:rPr>
        <w:t xml:space="preserve">or count. </w:t>
      </w:r>
    </w:p>
    <w:p w14:paraId="47AD4B26" w14:textId="50B1B792" w:rsidR="000A6363" w:rsidRPr="00281428" w:rsidRDefault="000A6363" w:rsidP="00A96162">
      <w:pPr>
        <w:ind w:left="1440"/>
        <w:rPr>
          <w:b/>
          <w:szCs w:val="20"/>
          <w:u w:val="single"/>
        </w:rPr>
      </w:pPr>
      <w:r w:rsidRPr="00281428">
        <w:rPr>
          <w:b/>
          <w:szCs w:val="20"/>
          <w:u w:val="single"/>
        </w:rPr>
        <w:t xml:space="preserve">MAV for Individual Inner Package Quantity. – The MAV for the </w:t>
      </w:r>
      <w:r w:rsidR="003232B5" w:rsidRPr="00281428">
        <w:rPr>
          <w:b/>
          <w:szCs w:val="20"/>
          <w:u w:val="single"/>
        </w:rPr>
        <w:t xml:space="preserve">labeled </w:t>
      </w:r>
      <w:r w:rsidRPr="00281428">
        <w:rPr>
          <w:b/>
          <w:szCs w:val="20"/>
          <w:u w:val="single"/>
        </w:rPr>
        <w:t xml:space="preserve">quantity for the individual inner packages </w:t>
      </w:r>
      <w:r w:rsidR="001706B2" w:rsidRPr="00281428">
        <w:rPr>
          <w:b/>
          <w:szCs w:val="20"/>
          <w:u w:val="single"/>
        </w:rPr>
        <w:t>specified</w:t>
      </w:r>
      <w:r w:rsidRPr="00281428">
        <w:rPr>
          <w:b/>
          <w:szCs w:val="20"/>
          <w:u w:val="single"/>
        </w:rPr>
        <w:t xml:space="preserve"> in the proper table of MAVs in Appendix A. “Tables.” </w:t>
      </w:r>
    </w:p>
    <w:bookmarkEnd w:id="43"/>
    <w:p w14:paraId="606B5129" w14:textId="43C0879A" w:rsidR="000A6363" w:rsidRPr="00281428" w:rsidRDefault="000A6363" w:rsidP="00A96162">
      <w:pPr>
        <w:ind w:left="1440" w:hanging="360"/>
        <w:rPr>
          <w:b/>
          <w:szCs w:val="20"/>
          <w:u w:val="single"/>
        </w:rPr>
      </w:pPr>
      <w:r w:rsidRPr="00281428">
        <w:rPr>
          <w:b/>
          <w:szCs w:val="20"/>
          <w:u w:val="single"/>
        </w:rPr>
        <w:t>b.</w:t>
      </w:r>
      <w:r w:rsidR="00B64FAF" w:rsidRPr="00281428">
        <w:rPr>
          <w:b/>
          <w:szCs w:val="20"/>
        </w:rPr>
        <w:tab/>
      </w:r>
      <w:r w:rsidR="00B64FAF" w:rsidRPr="00281428">
        <w:rPr>
          <w:b/>
          <w:szCs w:val="20"/>
          <w:u w:val="single"/>
        </w:rPr>
        <w:t>V</w:t>
      </w:r>
      <w:r w:rsidRPr="00281428">
        <w:rPr>
          <w:b/>
          <w:szCs w:val="20"/>
          <w:u w:val="single"/>
        </w:rPr>
        <w:t xml:space="preserve">ariety Package. – </w:t>
      </w:r>
      <w:r w:rsidR="001706B2" w:rsidRPr="00281428">
        <w:rPr>
          <w:b/>
          <w:szCs w:val="20"/>
          <w:u w:val="single"/>
        </w:rPr>
        <w:t xml:space="preserve">In verifying </w:t>
      </w:r>
      <w:r w:rsidR="00824BE1" w:rsidRPr="00281428">
        <w:rPr>
          <w:b/>
          <w:szCs w:val="20"/>
          <w:u w:val="single"/>
        </w:rPr>
        <w:t xml:space="preserve">a </w:t>
      </w:r>
      <w:r w:rsidRPr="00281428">
        <w:rPr>
          <w:b/>
          <w:szCs w:val="20"/>
          <w:u w:val="single"/>
        </w:rPr>
        <w:t>total quantity declaration</w:t>
      </w:r>
      <w:r w:rsidR="003232B5" w:rsidRPr="00281428">
        <w:rPr>
          <w:b/>
          <w:szCs w:val="20"/>
          <w:u w:val="single"/>
        </w:rPr>
        <w:t xml:space="preserve"> that</w:t>
      </w:r>
      <w:r w:rsidRPr="00281428">
        <w:rPr>
          <w:b/>
          <w:szCs w:val="20"/>
          <w:u w:val="single"/>
        </w:rPr>
        <w:t xml:space="preserve"> appears </w:t>
      </w:r>
      <w:r w:rsidR="003232B5" w:rsidRPr="00281428">
        <w:rPr>
          <w:b/>
          <w:szCs w:val="20"/>
          <w:u w:val="single"/>
        </w:rPr>
        <w:t xml:space="preserve">on </w:t>
      </w:r>
      <w:r w:rsidRPr="00281428">
        <w:rPr>
          <w:b/>
          <w:szCs w:val="20"/>
          <w:u w:val="single"/>
        </w:rPr>
        <w:t>a variety package</w:t>
      </w:r>
      <w:r w:rsidR="003232B5" w:rsidRPr="00281428">
        <w:rPr>
          <w:b/>
          <w:szCs w:val="20"/>
          <w:u w:val="single"/>
        </w:rPr>
        <w:t>,</w:t>
      </w:r>
      <w:r w:rsidR="00972E44" w:rsidRPr="00281428">
        <w:rPr>
          <w:b/>
          <w:szCs w:val="20"/>
          <w:u w:val="single"/>
        </w:rPr>
        <w:t xml:space="preserve"> </w:t>
      </w:r>
      <w:r w:rsidRPr="00281428">
        <w:rPr>
          <w:b/>
          <w:szCs w:val="20"/>
          <w:u w:val="single"/>
        </w:rPr>
        <w:t>compare a Total Quantity MAV to each minus Total Quantity Package Error to determine if the error is unreasonable.  Calculate the Total Quantity MAV using the following formula:</w:t>
      </w:r>
    </w:p>
    <w:p w14:paraId="10157960" w14:textId="60812742" w:rsidR="000A6363" w:rsidRPr="00281428" w:rsidRDefault="000A6363" w:rsidP="000803DF">
      <w:pPr>
        <w:ind w:left="1440"/>
        <w:jc w:val="center"/>
        <w:rPr>
          <w:szCs w:val="20"/>
        </w:rPr>
      </w:pPr>
      <w:r w:rsidRPr="00281428">
        <w:rPr>
          <w:b/>
          <w:i/>
          <w:szCs w:val="20"/>
          <w:u w:val="single"/>
        </w:rPr>
        <w:t xml:space="preserve">Total Quantity MAV = </w:t>
      </w:r>
      <w:r w:rsidR="003232B5" w:rsidRPr="00281428">
        <w:rPr>
          <w:b/>
          <w:i/>
          <w:szCs w:val="20"/>
          <w:u w:val="single"/>
        </w:rPr>
        <w:t>The sum of the applicable MAVs</w:t>
      </w:r>
      <w:r w:rsidRPr="00281428">
        <w:rPr>
          <w:b/>
          <w:i/>
          <w:szCs w:val="20"/>
          <w:u w:val="single"/>
        </w:rPr>
        <w:t xml:space="preserve"> for </w:t>
      </w:r>
      <w:r w:rsidR="003232B5" w:rsidRPr="00281428">
        <w:rPr>
          <w:b/>
          <w:i/>
          <w:szCs w:val="20"/>
          <w:u w:val="single"/>
        </w:rPr>
        <w:t xml:space="preserve">all </w:t>
      </w:r>
      <w:r w:rsidRPr="00281428">
        <w:rPr>
          <w:b/>
          <w:i/>
          <w:szCs w:val="20"/>
          <w:u w:val="single"/>
        </w:rPr>
        <w:t>Individual Inner Package</w:t>
      </w:r>
      <w:r w:rsidR="003232B5" w:rsidRPr="00281428">
        <w:rPr>
          <w:b/>
          <w:i/>
          <w:szCs w:val="20"/>
          <w:u w:val="single"/>
        </w:rPr>
        <w:t>s</w:t>
      </w:r>
    </w:p>
    <w:p w14:paraId="22DE056F" w14:textId="1943F6C0" w:rsidR="000A6363" w:rsidRPr="00281428" w:rsidRDefault="000A6363" w:rsidP="00A96162">
      <w:pPr>
        <w:ind w:left="1440"/>
        <w:rPr>
          <w:b/>
          <w:szCs w:val="24"/>
          <w:u w:val="single"/>
        </w:rPr>
      </w:pPr>
      <w:r w:rsidRPr="00281428">
        <w:rPr>
          <w:b/>
          <w:szCs w:val="20"/>
          <w:u w:val="single"/>
        </w:rPr>
        <w:t xml:space="preserve">Variety packages include commodities </w:t>
      </w:r>
      <w:r w:rsidR="00C14287" w:rsidRPr="00281428">
        <w:rPr>
          <w:b/>
          <w:szCs w:val="20"/>
          <w:u w:val="single"/>
        </w:rPr>
        <w:t xml:space="preserve">that </w:t>
      </w:r>
      <w:r w:rsidRPr="00281428">
        <w:rPr>
          <w:b/>
          <w:szCs w:val="20"/>
          <w:u w:val="single"/>
        </w:rPr>
        <w:t xml:space="preserve">may be generically similar, </w:t>
      </w:r>
      <w:r w:rsidR="00C14287" w:rsidRPr="00281428">
        <w:rPr>
          <w:b/>
          <w:szCs w:val="20"/>
          <w:u w:val="single"/>
        </w:rPr>
        <w:t>but</w:t>
      </w:r>
      <w:r w:rsidRPr="00281428">
        <w:rPr>
          <w:b/>
          <w:szCs w:val="20"/>
          <w:u w:val="single"/>
        </w:rPr>
        <w:t xml:space="preserve"> differ in weight, measure, volume, or </w:t>
      </w:r>
      <w:r w:rsidR="001706B2" w:rsidRPr="00281428">
        <w:rPr>
          <w:b/>
          <w:szCs w:val="20"/>
          <w:u w:val="single"/>
        </w:rPr>
        <w:t>design variation (e.g., color, flavor, scent, etc</w:t>
      </w:r>
      <w:r w:rsidRPr="00281428">
        <w:rPr>
          <w:b/>
          <w:szCs w:val="20"/>
          <w:u w:val="single"/>
        </w:rPr>
        <w:t>.</w:t>
      </w:r>
      <w:r w:rsidR="001706B2" w:rsidRPr="00281428">
        <w:rPr>
          <w:b/>
          <w:szCs w:val="20"/>
          <w:u w:val="single"/>
        </w:rPr>
        <w:t>)</w:t>
      </w:r>
      <w:r w:rsidRPr="00281428">
        <w:rPr>
          <w:b/>
          <w:szCs w:val="20"/>
          <w:u w:val="single"/>
        </w:rPr>
        <w:t xml:space="preserve">  </w:t>
      </w:r>
      <w:r w:rsidRPr="00281428">
        <w:rPr>
          <w:b/>
          <w:szCs w:val="24"/>
          <w:u w:val="single"/>
        </w:rPr>
        <w:t xml:space="preserve">For these </w:t>
      </w:r>
      <w:proofErr w:type="gramStart"/>
      <w:r w:rsidRPr="00281428">
        <w:rPr>
          <w:b/>
          <w:szCs w:val="24"/>
          <w:u w:val="single"/>
        </w:rPr>
        <w:t>packages</w:t>
      </w:r>
      <w:proofErr w:type="gramEnd"/>
      <w:r w:rsidRPr="00281428">
        <w:rPr>
          <w:b/>
          <w:szCs w:val="24"/>
          <w:u w:val="single"/>
        </w:rPr>
        <w:t xml:space="preserve"> a Total Quantity MAV is calculated for each product type </w:t>
      </w:r>
      <w:r w:rsidR="001706B2" w:rsidRPr="00281428">
        <w:rPr>
          <w:b/>
          <w:szCs w:val="24"/>
          <w:u w:val="single"/>
        </w:rPr>
        <w:t xml:space="preserve">within the variety package </w:t>
      </w:r>
      <w:r w:rsidRPr="00281428">
        <w:rPr>
          <w:b/>
          <w:szCs w:val="24"/>
          <w:u w:val="single"/>
        </w:rPr>
        <w:t xml:space="preserve">and the results are added to obtain a Total Quantity MAV for comparison to each minus Total Quantity Package Error. </w:t>
      </w:r>
    </w:p>
    <w:p w14:paraId="3A833796" w14:textId="77777777" w:rsidR="000A6363" w:rsidRPr="00281428" w:rsidRDefault="000A6363" w:rsidP="00A96162">
      <w:pPr>
        <w:ind w:left="1440" w:right="288"/>
        <w:rPr>
          <w:b/>
          <w:szCs w:val="24"/>
          <w:u w:val="single"/>
        </w:rPr>
      </w:pPr>
      <w:r w:rsidRPr="00281428">
        <w:rPr>
          <w:b/>
          <w:szCs w:val="24"/>
          <w:u w:val="single"/>
        </w:rPr>
        <w:t xml:space="preserve">Terms are defined as:  </w:t>
      </w:r>
    </w:p>
    <w:p w14:paraId="56F83B2D" w14:textId="798299D9" w:rsidR="000A6363" w:rsidRPr="00281428" w:rsidRDefault="000A6363" w:rsidP="00A96162">
      <w:pPr>
        <w:ind w:left="1440"/>
        <w:rPr>
          <w:b/>
          <w:szCs w:val="24"/>
          <w:u w:val="single"/>
        </w:rPr>
      </w:pPr>
      <w:r w:rsidRPr="00281428">
        <w:rPr>
          <w:b/>
          <w:szCs w:val="24"/>
          <w:u w:val="single"/>
        </w:rPr>
        <w:lastRenderedPageBreak/>
        <w:t>Number of Individual Inner Packages. – The total number of similar but not identical individual inner packages with differing and/</w:t>
      </w:r>
      <w:r w:rsidR="003232B5" w:rsidRPr="00281428">
        <w:rPr>
          <w:b/>
          <w:szCs w:val="24"/>
          <w:u w:val="single"/>
        </w:rPr>
        <w:t xml:space="preserve">or </w:t>
      </w:r>
      <w:r w:rsidRPr="00281428">
        <w:rPr>
          <w:b/>
          <w:szCs w:val="24"/>
          <w:u w:val="single"/>
        </w:rPr>
        <w:t xml:space="preserve">uniform </w:t>
      </w:r>
      <w:r w:rsidR="003232B5" w:rsidRPr="00281428">
        <w:rPr>
          <w:b/>
          <w:szCs w:val="24"/>
          <w:u w:val="single"/>
        </w:rPr>
        <w:t xml:space="preserve">labeled </w:t>
      </w:r>
      <w:r w:rsidRPr="00281428">
        <w:rPr>
          <w:b/>
          <w:szCs w:val="24"/>
          <w:u w:val="single"/>
        </w:rPr>
        <w:t>weight or measure.</w:t>
      </w:r>
    </w:p>
    <w:p w14:paraId="01181EB1" w14:textId="1F3E393B" w:rsidR="00FF186E" w:rsidRPr="00281428" w:rsidRDefault="000A6363" w:rsidP="00FF186E">
      <w:pPr>
        <w:autoSpaceDE w:val="0"/>
        <w:spacing w:before="60" w:after="60"/>
        <w:ind w:left="1440"/>
        <w:rPr>
          <w:b/>
          <w:szCs w:val="24"/>
          <w:u w:val="single"/>
        </w:rPr>
      </w:pPr>
      <w:r w:rsidRPr="00281428">
        <w:rPr>
          <w:b/>
          <w:szCs w:val="24"/>
          <w:u w:val="single"/>
        </w:rPr>
        <w:t xml:space="preserve">MAV for Individual Inner Package Quantity. – The MAV for the quantity declared for the individual inner packages specified in the </w:t>
      </w:r>
      <w:r w:rsidR="001706B2" w:rsidRPr="00281428">
        <w:rPr>
          <w:b/>
          <w:szCs w:val="24"/>
          <w:u w:val="single"/>
        </w:rPr>
        <w:t>appropriate</w:t>
      </w:r>
      <w:r w:rsidRPr="00281428">
        <w:rPr>
          <w:b/>
          <w:szCs w:val="24"/>
          <w:u w:val="single"/>
        </w:rPr>
        <w:t xml:space="preserve"> </w:t>
      </w:r>
      <w:r w:rsidR="001706B2" w:rsidRPr="00281428">
        <w:rPr>
          <w:b/>
          <w:szCs w:val="24"/>
          <w:u w:val="single"/>
        </w:rPr>
        <w:t>MAV t</w:t>
      </w:r>
      <w:r w:rsidRPr="00281428">
        <w:rPr>
          <w:b/>
          <w:szCs w:val="24"/>
          <w:u w:val="single"/>
        </w:rPr>
        <w:t xml:space="preserve">able in Appendix A. “Tables.” </w:t>
      </w:r>
    </w:p>
    <w:p w14:paraId="0C030458" w14:textId="3F2B4DD3" w:rsidR="000A6363" w:rsidRPr="00281428" w:rsidRDefault="00FF186E" w:rsidP="00A96162">
      <w:pPr>
        <w:autoSpaceDE w:val="0"/>
        <w:spacing w:before="60" w:after="60"/>
        <w:ind w:left="720"/>
      </w:pPr>
      <w:r w:rsidRPr="00281428">
        <w:rPr>
          <w:b/>
          <w:szCs w:val="24"/>
          <w:u w:val="single"/>
        </w:rPr>
        <w:t>(Added 20XX)</w:t>
      </w:r>
      <w:r w:rsidR="000A6363" w:rsidRPr="00281428">
        <w:rPr>
          <w:b/>
          <w:szCs w:val="24"/>
          <w:u w:val="single"/>
        </w:rPr>
        <w:t xml:space="preserve"> </w:t>
      </w:r>
    </w:p>
    <w:p w14:paraId="6ACA5305" w14:textId="666E8BA1" w:rsidR="000A6363" w:rsidRPr="00281428" w:rsidRDefault="000A6363" w:rsidP="00DF1D51">
      <w:pPr>
        <w:pStyle w:val="ItemHeading"/>
        <w:keepNext w:val="0"/>
        <w:keepLines w:val="0"/>
        <w:tabs>
          <w:tab w:val="clear" w:pos="900"/>
          <w:tab w:val="left" w:pos="1620"/>
        </w:tabs>
        <w:ind w:left="1980" w:hanging="1980"/>
        <w:jc w:val="both"/>
      </w:pPr>
      <w:bookmarkStart w:id="45" w:name="_Toc65741433"/>
      <w:bookmarkStart w:id="46" w:name="_Hlk523481301"/>
      <w:r w:rsidRPr="00281428">
        <w:t>B</w:t>
      </w:r>
      <w:r w:rsidR="00FD3780" w:rsidRPr="00281428">
        <w:t>1: NET-</w:t>
      </w:r>
      <w:r w:rsidR="00B62BC5" w:rsidRPr="00281428">
        <w:t>19.</w:t>
      </w:r>
      <w:r w:rsidR="00FD3780" w:rsidRPr="00281428">
        <w:t>2</w:t>
      </w:r>
      <w:r w:rsidRPr="00281428">
        <w:tab/>
      </w:r>
      <w:r w:rsidR="00BB08FF" w:rsidRPr="00281428">
        <w:t>I</w:t>
      </w:r>
      <w:r w:rsidRPr="00281428">
        <w:tab/>
        <w:t>Sections 2.1. Scope, 3.1. Scope, 4.1. Scope</w:t>
      </w:r>
      <w:r w:rsidR="00285272" w:rsidRPr="00281428">
        <w:t xml:space="preserve">, </w:t>
      </w:r>
      <w:r w:rsidRPr="00281428">
        <w:t>2.3.7.1. Maximum Allowable Variation (MAV) Requirement</w:t>
      </w:r>
      <w:r w:rsidR="00285272" w:rsidRPr="00281428">
        <w:t>, and Section 2.7.3. “Evaluation of Results – Compliance Determinations</w:t>
      </w:r>
      <w:r w:rsidR="006A678F" w:rsidRPr="00281428">
        <w:t>”</w:t>
      </w:r>
      <w:bookmarkEnd w:id="45"/>
    </w:p>
    <w:bookmarkEnd w:id="46"/>
    <w:p w14:paraId="6EDFE9B7" w14:textId="77777777" w:rsidR="000A6363" w:rsidRPr="00281428" w:rsidRDefault="000A6363" w:rsidP="00DF1D51">
      <w:pPr>
        <w:spacing w:after="0"/>
        <w:rPr>
          <w:b/>
        </w:rPr>
      </w:pPr>
      <w:r w:rsidRPr="00281428">
        <w:rPr>
          <w:b/>
        </w:rPr>
        <w:t>Purpose:</w:t>
      </w:r>
    </w:p>
    <w:p w14:paraId="1F15F7E9" w14:textId="76C4D2EB" w:rsidR="000A6363" w:rsidRPr="00281428" w:rsidRDefault="000A6363" w:rsidP="00DF1D51">
      <w:pPr>
        <w:rPr>
          <w:b/>
        </w:rPr>
      </w:pPr>
      <w:r w:rsidRPr="00281428">
        <w:rPr>
          <w:szCs w:val="20"/>
        </w:rPr>
        <w:t xml:space="preserve">With the adoption of </w:t>
      </w:r>
      <w:r w:rsidR="006C28EC" w:rsidRPr="00281428">
        <w:rPr>
          <w:szCs w:val="20"/>
        </w:rPr>
        <w:t xml:space="preserve">Handbook 133, </w:t>
      </w:r>
      <w:r w:rsidRPr="00281428">
        <w:rPr>
          <w:szCs w:val="20"/>
        </w:rPr>
        <w:t>Chapter 5. Specialized Test Procedure</w:t>
      </w:r>
      <w:r w:rsidR="006C28EC" w:rsidRPr="00281428">
        <w:rPr>
          <w:szCs w:val="20"/>
        </w:rPr>
        <w:t>s</w:t>
      </w:r>
      <w:r w:rsidRPr="00281428">
        <w:rPr>
          <w:szCs w:val="20"/>
        </w:rPr>
        <w:t xml:space="preserve"> this </w:t>
      </w:r>
      <w:r w:rsidR="006C28EC" w:rsidRPr="00281428">
        <w:rPr>
          <w:szCs w:val="20"/>
        </w:rPr>
        <w:t xml:space="preserve">item </w:t>
      </w:r>
      <w:r w:rsidRPr="00281428">
        <w:rPr>
          <w:szCs w:val="20"/>
        </w:rPr>
        <w:t>clarifies the language within Handbook 133.</w:t>
      </w:r>
    </w:p>
    <w:p w14:paraId="772C37C1" w14:textId="77777777" w:rsidR="000A6363" w:rsidRPr="00281428" w:rsidRDefault="000A6363" w:rsidP="000803DF">
      <w:pPr>
        <w:pStyle w:val="I-Normal1indent"/>
        <w:spacing w:after="0"/>
        <w:ind w:left="0"/>
        <w:rPr>
          <w:b/>
          <w:szCs w:val="20"/>
        </w:rPr>
      </w:pPr>
      <w:r w:rsidRPr="00281428">
        <w:rPr>
          <w:b/>
          <w:szCs w:val="20"/>
        </w:rPr>
        <w:t xml:space="preserve">Item </w:t>
      </w:r>
      <w:r w:rsidR="00172A25" w:rsidRPr="00281428">
        <w:rPr>
          <w:b/>
          <w:szCs w:val="20"/>
        </w:rPr>
        <w:t>U</w:t>
      </w:r>
      <w:r w:rsidRPr="00281428">
        <w:rPr>
          <w:b/>
          <w:szCs w:val="20"/>
        </w:rPr>
        <w:t>nder Consideration:</w:t>
      </w:r>
    </w:p>
    <w:p w14:paraId="7663F027" w14:textId="77DC73C9" w:rsidR="000A6363" w:rsidRPr="00281428" w:rsidRDefault="000A6363" w:rsidP="000803DF">
      <w:pPr>
        <w:spacing w:after="200"/>
      </w:pPr>
      <w:r w:rsidRPr="00281428">
        <w:t>Amend Handbook 133, Chapters 2, 3</w:t>
      </w:r>
      <w:r w:rsidR="00C14287" w:rsidRPr="00281428">
        <w:t>,</w:t>
      </w:r>
      <w:r w:rsidRPr="00281428">
        <w:t xml:space="preserve"> and 4 as follows:</w:t>
      </w:r>
    </w:p>
    <w:p w14:paraId="730110E9" w14:textId="77777777" w:rsidR="000A6363" w:rsidRPr="00281428" w:rsidRDefault="000A6363" w:rsidP="000803DF">
      <w:pPr>
        <w:rPr>
          <w:szCs w:val="24"/>
        </w:rPr>
      </w:pPr>
      <w:r w:rsidRPr="00281428">
        <w:rPr>
          <w:szCs w:val="24"/>
        </w:rPr>
        <w:t>Add a Note to HB133, Chapter 2, Section 2.1. “Scope;” Section 3.1. “Scope;” and Section 4.1 “Scope” that refers users to the Chapter 5.  “Specialized Test Procedures” for these types of packages.</w:t>
      </w:r>
    </w:p>
    <w:p w14:paraId="506873E0" w14:textId="672546C6" w:rsidR="00C14287" w:rsidRPr="00281428" w:rsidRDefault="000A6363" w:rsidP="000803DF">
      <w:pPr>
        <w:spacing w:after="200"/>
        <w:ind w:left="360"/>
        <w:rPr>
          <w:b/>
          <w:szCs w:val="24"/>
          <w:u w:val="single"/>
        </w:rPr>
      </w:pPr>
      <w:r w:rsidRPr="00281428">
        <w:rPr>
          <w:b/>
          <w:szCs w:val="24"/>
          <w:u w:val="single"/>
        </w:rPr>
        <w:t>Note:  If Multiunit or Variety Packages are to be inspected</w:t>
      </w:r>
      <w:r w:rsidR="003232B5" w:rsidRPr="00281428">
        <w:rPr>
          <w:b/>
          <w:szCs w:val="24"/>
          <w:u w:val="single"/>
        </w:rPr>
        <w:t>,</w:t>
      </w:r>
      <w:r w:rsidRPr="00281428">
        <w:rPr>
          <w:b/>
          <w:szCs w:val="24"/>
          <w:u w:val="single"/>
        </w:rPr>
        <w:t xml:space="preserve"> </w:t>
      </w:r>
      <w:r w:rsidR="00C14287" w:rsidRPr="00281428">
        <w:rPr>
          <w:b/>
          <w:szCs w:val="24"/>
          <w:u w:val="single"/>
        </w:rPr>
        <w:t xml:space="preserve">refer to </w:t>
      </w:r>
      <w:r w:rsidRPr="00281428">
        <w:rPr>
          <w:b/>
          <w:szCs w:val="24"/>
          <w:u w:val="single"/>
        </w:rPr>
        <w:t xml:space="preserve">Chapter 5. “Specialized Test Procedures” for guidance in testing.  </w:t>
      </w:r>
    </w:p>
    <w:p w14:paraId="0AF2A785" w14:textId="4C1EF02B" w:rsidR="000A6363" w:rsidRPr="00281428" w:rsidRDefault="000A6363" w:rsidP="00FF186E">
      <w:pPr>
        <w:spacing w:after="60"/>
        <w:ind w:left="360"/>
        <w:rPr>
          <w:b/>
          <w:szCs w:val="24"/>
          <w:u w:val="single"/>
        </w:rPr>
      </w:pPr>
      <w:r w:rsidRPr="00281428">
        <w:rPr>
          <w:b/>
          <w:szCs w:val="24"/>
          <w:u w:val="single"/>
        </w:rPr>
        <w:t xml:space="preserve">If a total quantity declaration is </w:t>
      </w:r>
      <w:r w:rsidR="001706B2" w:rsidRPr="00281428">
        <w:rPr>
          <w:b/>
          <w:szCs w:val="24"/>
          <w:u w:val="single"/>
        </w:rPr>
        <w:t xml:space="preserve">being </w:t>
      </w:r>
      <w:r w:rsidRPr="00281428">
        <w:rPr>
          <w:b/>
          <w:szCs w:val="24"/>
          <w:u w:val="single"/>
        </w:rPr>
        <w:t xml:space="preserve">verified and the MAV to be applied is not based on a percentage of the labeled quantity, </w:t>
      </w:r>
      <w:r w:rsidR="00C14287" w:rsidRPr="00281428">
        <w:rPr>
          <w:b/>
          <w:szCs w:val="24"/>
          <w:u w:val="single"/>
        </w:rPr>
        <w:t>refer to</w:t>
      </w:r>
      <w:r w:rsidRPr="00281428">
        <w:rPr>
          <w:b/>
          <w:szCs w:val="24"/>
          <w:u w:val="single"/>
        </w:rPr>
        <w:t xml:space="preserve"> Section 1.2.4.1. “Total Quantity MAV for Multiunit and Variety Packages.</w:t>
      </w:r>
      <w:r w:rsidR="00C14287" w:rsidRPr="00281428">
        <w:rPr>
          <w:b/>
          <w:szCs w:val="24"/>
          <w:u w:val="single"/>
        </w:rPr>
        <w:t>”</w:t>
      </w:r>
    </w:p>
    <w:p w14:paraId="50B50980" w14:textId="3DBD6CD4" w:rsidR="00FF186E" w:rsidRPr="00281428" w:rsidRDefault="00FF186E" w:rsidP="00A96162">
      <w:pPr>
        <w:ind w:left="360"/>
      </w:pPr>
      <w:r w:rsidRPr="00281428">
        <w:rPr>
          <w:b/>
          <w:szCs w:val="24"/>
          <w:u w:val="single"/>
        </w:rPr>
        <w:t>(Added 20XX)</w:t>
      </w:r>
    </w:p>
    <w:p w14:paraId="244E9E56" w14:textId="113BCCD6" w:rsidR="000A6363" w:rsidRPr="00281428" w:rsidRDefault="001706B2" w:rsidP="000803DF">
      <w:pPr>
        <w:rPr>
          <w:szCs w:val="24"/>
        </w:rPr>
      </w:pPr>
      <w:r w:rsidRPr="00281428">
        <w:t>Ad</w:t>
      </w:r>
      <w:r w:rsidR="000A6363" w:rsidRPr="00281428">
        <w:rPr>
          <w:szCs w:val="24"/>
        </w:rPr>
        <w:t xml:space="preserve">d the following note to HB133, Chapter 2, Section 2.3.7.1 “Maximum Allowable Variation (MAV) Requirement” and </w:t>
      </w:r>
      <w:bookmarkStart w:id="47" w:name="_Hlk31716281"/>
      <w:r w:rsidR="000A6363" w:rsidRPr="00281428">
        <w:rPr>
          <w:szCs w:val="24"/>
        </w:rPr>
        <w:t>Section 2.7.3. “Evaluation of Results – Compliance Determinations</w:t>
      </w:r>
      <w:bookmarkEnd w:id="47"/>
      <w:r w:rsidR="000A6363" w:rsidRPr="00281428">
        <w:rPr>
          <w:szCs w:val="24"/>
        </w:rPr>
        <w:t>.”</w:t>
      </w:r>
    </w:p>
    <w:p w14:paraId="771CFF6A" w14:textId="5A263B21" w:rsidR="000A6363" w:rsidRPr="00281428" w:rsidRDefault="000A6363" w:rsidP="002D409F">
      <w:pPr>
        <w:spacing w:after="60"/>
        <w:ind w:left="360"/>
        <w:rPr>
          <w:b/>
          <w:szCs w:val="24"/>
          <w:u w:val="single"/>
        </w:rPr>
      </w:pPr>
      <w:r w:rsidRPr="00281428">
        <w:rPr>
          <w:b/>
          <w:szCs w:val="24"/>
          <w:u w:val="single"/>
        </w:rPr>
        <w:t>Note:</w:t>
      </w:r>
      <w:r w:rsidR="006A678F" w:rsidRPr="00281428">
        <w:rPr>
          <w:b/>
          <w:szCs w:val="24"/>
          <w:u w:val="single"/>
        </w:rPr>
        <w:t xml:space="preserve"> </w:t>
      </w:r>
      <w:r w:rsidRPr="00281428">
        <w:rPr>
          <w:szCs w:val="24"/>
          <w:u w:val="single"/>
        </w:rPr>
        <w:t xml:space="preserve"> </w:t>
      </w:r>
      <w:r w:rsidRPr="00281428">
        <w:rPr>
          <w:b/>
          <w:szCs w:val="24"/>
          <w:u w:val="single"/>
        </w:rPr>
        <w:t xml:space="preserve">If a total quantity declaration on a multiunit or variety package is </w:t>
      </w:r>
      <w:r w:rsidR="001706B2" w:rsidRPr="00281428">
        <w:rPr>
          <w:b/>
          <w:szCs w:val="24"/>
          <w:u w:val="single"/>
        </w:rPr>
        <w:t xml:space="preserve">being </w:t>
      </w:r>
      <w:r w:rsidRPr="00281428">
        <w:rPr>
          <w:b/>
          <w:szCs w:val="24"/>
          <w:u w:val="single"/>
        </w:rPr>
        <w:t xml:space="preserve">verified, and the MAV applied is not based on a percent of the labeled quantity </w:t>
      </w:r>
      <w:r w:rsidR="003232B5" w:rsidRPr="00281428">
        <w:rPr>
          <w:b/>
          <w:szCs w:val="24"/>
          <w:u w:val="single"/>
        </w:rPr>
        <w:t>s</w:t>
      </w:r>
      <w:r w:rsidRPr="00281428">
        <w:rPr>
          <w:b/>
          <w:szCs w:val="24"/>
          <w:u w:val="single"/>
        </w:rPr>
        <w:t>ee Section 1.2.4.1. “Total Quantity MAV for Multiunit and Variety Packages.</w:t>
      </w:r>
    </w:p>
    <w:p w14:paraId="38D6AB44" w14:textId="7D71AA22" w:rsidR="00FF186E" w:rsidRPr="00281428" w:rsidRDefault="00FF186E" w:rsidP="00DD0838">
      <w:pPr>
        <w:ind w:left="360"/>
        <w:rPr>
          <w:b/>
        </w:rPr>
      </w:pPr>
      <w:r w:rsidRPr="00281428">
        <w:rPr>
          <w:b/>
          <w:szCs w:val="24"/>
          <w:u w:val="single"/>
        </w:rPr>
        <w:t>(Added 20XX)</w:t>
      </w:r>
    </w:p>
    <w:p w14:paraId="2E7F6BDC" w14:textId="4A21C5B8" w:rsidR="000A6363" w:rsidRPr="00281428" w:rsidRDefault="000A6363" w:rsidP="00123E2B">
      <w:pPr>
        <w:pStyle w:val="ItemHeading"/>
        <w:keepNext w:val="0"/>
        <w:keepLines w:val="0"/>
        <w:tabs>
          <w:tab w:val="clear" w:pos="900"/>
          <w:tab w:val="left" w:pos="1620"/>
        </w:tabs>
      </w:pPr>
      <w:bookmarkStart w:id="48" w:name="_Toc65741434"/>
      <w:bookmarkStart w:id="49" w:name="_Hlk523482065"/>
      <w:r w:rsidRPr="00281428">
        <w:t>B</w:t>
      </w:r>
      <w:r w:rsidR="00FD3780" w:rsidRPr="00281428">
        <w:t>1: NET-</w:t>
      </w:r>
      <w:r w:rsidR="00B62BC5" w:rsidRPr="00281428">
        <w:t>19.</w:t>
      </w:r>
      <w:r w:rsidR="00FD3780" w:rsidRPr="00281428">
        <w:t>3</w:t>
      </w:r>
      <w:r w:rsidRPr="00281428">
        <w:tab/>
      </w:r>
      <w:r w:rsidR="00BB08FF" w:rsidRPr="00281428">
        <w:t>I</w:t>
      </w:r>
      <w:r w:rsidRPr="00281428">
        <w:tab/>
      </w:r>
      <w:r w:rsidR="00B21D45" w:rsidRPr="00281428">
        <w:t>Create</w:t>
      </w:r>
      <w:r w:rsidR="00B22830" w:rsidRPr="00281428">
        <w:t xml:space="preserve"> a </w:t>
      </w:r>
      <w:r w:rsidRPr="00281428">
        <w:t>Chapter 5</w:t>
      </w:r>
      <w:r w:rsidR="00FC7D97" w:rsidRPr="00281428">
        <w:t xml:space="preserve">.  </w:t>
      </w:r>
      <w:r w:rsidRPr="00281428">
        <w:t>Specialized Test Procedures</w:t>
      </w:r>
      <w:bookmarkEnd w:id="48"/>
    </w:p>
    <w:bookmarkEnd w:id="49"/>
    <w:p w14:paraId="6959B58E" w14:textId="77777777" w:rsidR="000A6363" w:rsidRPr="00281428" w:rsidRDefault="000A6363" w:rsidP="002D409F">
      <w:pPr>
        <w:spacing w:after="0"/>
        <w:rPr>
          <w:b/>
        </w:rPr>
      </w:pPr>
      <w:r w:rsidRPr="00281428">
        <w:rPr>
          <w:b/>
        </w:rPr>
        <w:t>Purpose:</w:t>
      </w:r>
    </w:p>
    <w:p w14:paraId="3196F23C" w14:textId="577F368D" w:rsidR="000A6363" w:rsidRPr="00281428" w:rsidRDefault="000A6363" w:rsidP="00DD0838">
      <w:pPr>
        <w:rPr>
          <w:szCs w:val="20"/>
        </w:rPr>
      </w:pPr>
      <w:r w:rsidRPr="00281428">
        <w:rPr>
          <w:szCs w:val="24"/>
        </w:rPr>
        <w:t xml:space="preserve">Create </w:t>
      </w:r>
      <w:r w:rsidR="00FC7D97" w:rsidRPr="00281428">
        <w:rPr>
          <w:szCs w:val="24"/>
        </w:rPr>
        <w:t xml:space="preserve">new chapter in Handbook 133 that has </w:t>
      </w:r>
      <w:r w:rsidRPr="00281428">
        <w:rPr>
          <w:szCs w:val="24"/>
        </w:rPr>
        <w:t>specialized test procedure</w:t>
      </w:r>
      <w:r w:rsidR="00FC7D97" w:rsidRPr="00281428">
        <w:rPr>
          <w:szCs w:val="24"/>
        </w:rPr>
        <w:t xml:space="preserve">s </w:t>
      </w:r>
      <w:r w:rsidRPr="00281428">
        <w:rPr>
          <w:szCs w:val="24"/>
        </w:rPr>
        <w:t>to verify the inner contents of multiunit and variety packages</w:t>
      </w:r>
      <w:r w:rsidRPr="00281428">
        <w:rPr>
          <w:szCs w:val="20"/>
        </w:rPr>
        <w:t>.</w:t>
      </w:r>
    </w:p>
    <w:p w14:paraId="1ED31463" w14:textId="77777777" w:rsidR="000A6363" w:rsidRPr="00281428" w:rsidRDefault="000A6363" w:rsidP="002F0196">
      <w:pPr>
        <w:pStyle w:val="I-Normal1indent"/>
        <w:spacing w:after="0"/>
        <w:ind w:left="0"/>
        <w:rPr>
          <w:b/>
          <w:szCs w:val="20"/>
        </w:rPr>
      </w:pPr>
      <w:r w:rsidRPr="00281428">
        <w:rPr>
          <w:b/>
          <w:szCs w:val="20"/>
        </w:rPr>
        <w:t xml:space="preserve">Item </w:t>
      </w:r>
      <w:r w:rsidR="00172A25" w:rsidRPr="00281428">
        <w:rPr>
          <w:b/>
          <w:szCs w:val="20"/>
        </w:rPr>
        <w:t>U</w:t>
      </w:r>
      <w:r w:rsidRPr="00281428">
        <w:rPr>
          <w:b/>
          <w:szCs w:val="20"/>
        </w:rPr>
        <w:t>nder Consideration:</w:t>
      </w:r>
    </w:p>
    <w:p w14:paraId="22C1EA84" w14:textId="4410E71E" w:rsidR="000A6363" w:rsidRPr="00281428" w:rsidRDefault="000A6363" w:rsidP="002F0196">
      <w:r w:rsidRPr="00281428">
        <w:t>Amend Handbook 133, Chapter 5</w:t>
      </w:r>
      <w:r w:rsidR="00BE21F6" w:rsidRPr="00281428">
        <w:t>. Specialized Test Procedures</w:t>
      </w:r>
      <w:r w:rsidRPr="00281428">
        <w:t xml:space="preserve"> as follows:</w:t>
      </w:r>
    </w:p>
    <w:p w14:paraId="044E878C" w14:textId="573DDBAD" w:rsidR="000A6363" w:rsidRPr="00281428" w:rsidRDefault="000A6363" w:rsidP="000803DF">
      <w:pPr>
        <w:rPr>
          <w:b/>
          <w:szCs w:val="24"/>
          <w:u w:val="single"/>
        </w:rPr>
      </w:pPr>
      <w:r w:rsidRPr="00281428">
        <w:rPr>
          <w:b/>
          <w:szCs w:val="24"/>
          <w:u w:val="single"/>
        </w:rPr>
        <w:t>5.1.</w:t>
      </w:r>
      <w:r w:rsidR="00FC7D97" w:rsidRPr="00281428">
        <w:rPr>
          <w:b/>
          <w:szCs w:val="24"/>
        </w:rPr>
        <w:t xml:space="preserve">  </w:t>
      </w:r>
      <w:r w:rsidRPr="00281428">
        <w:rPr>
          <w:b/>
          <w:szCs w:val="24"/>
          <w:u w:val="single"/>
        </w:rPr>
        <w:t>Scope</w:t>
      </w:r>
    </w:p>
    <w:p w14:paraId="31894390" w14:textId="12646A78" w:rsidR="00C14287" w:rsidRPr="00281428" w:rsidRDefault="000A6363" w:rsidP="000803DF">
      <w:pPr>
        <w:rPr>
          <w:b/>
          <w:szCs w:val="24"/>
          <w:u w:val="single"/>
        </w:rPr>
      </w:pPr>
      <w:r w:rsidRPr="00281428">
        <w:rPr>
          <w:b/>
          <w:szCs w:val="24"/>
          <w:u w:val="single"/>
        </w:rPr>
        <w:t>The following procedures are use</w:t>
      </w:r>
      <w:r w:rsidR="00C14287" w:rsidRPr="00281428">
        <w:rPr>
          <w:b/>
          <w:szCs w:val="24"/>
          <w:u w:val="single"/>
        </w:rPr>
        <w:t>d</w:t>
      </w:r>
      <w:r w:rsidRPr="00281428">
        <w:rPr>
          <w:b/>
          <w:szCs w:val="24"/>
          <w:u w:val="single"/>
        </w:rPr>
        <w:t xml:space="preserve"> in </w:t>
      </w:r>
      <w:r w:rsidR="00C14287" w:rsidRPr="00281428">
        <w:rPr>
          <w:b/>
          <w:szCs w:val="24"/>
          <w:u w:val="single"/>
        </w:rPr>
        <w:t xml:space="preserve">either </w:t>
      </w:r>
      <w:r w:rsidRPr="00281428">
        <w:rPr>
          <w:b/>
          <w:szCs w:val="24"/>
          <w:u w:val="single"/>
        </w:rPr>
        <w:t xml:space="preserve">verifying the net quantity of contents of </w:t>
      </w:r>
      <w:r w:rsidR="001706B2" w:rsidRPr="00281428">
        <w:rPr>
          <w:b/>
          <w:szCs w:val="24"/>
          <w:u w:val="single"/>
        </w:rPr>
        <w:t xml:space="preserve">retail </w:t>
      </w:r>
      <w:r w:rsidRPr="00281428">
        <w:rPr>
          <w:b/>
          <w:szCs w:val="24"/>
          <w:u w:val="single"/>
        </w:rPr>
        <w:t xml:space="preserve">multiunit packages with individual inner packages </w:t>
      </w:r>
      <w:r w:rsidR="009221C5" w:rsidRPr="00281428">
        <w:rPr>
          <w:b/>
          <w:szCs w:val="24"/>
          <w:u w:val="single"/>
        </w:rPr>
        <w:t xml:space="preserve">of </w:t>
      </w:r>
      <w:r w:rsidRPr="00281428">
        <w:rPr>
          <w:b/>
          <w:szCs w:val="24"/>
          <w:u w:val="single"/>
        </w:rPr>
        <w:t xml:space="preserve">the same commodity </w:t>
      </w:r>
      <w:r w:rsidR="009221C5" w:rsidRPr="00281428">
        <w:rPr>
          <w:b/>
          <w:szCs w:val="24"/>
          <w:u w:val="single"/>
        </w:rPr>
        <w:t xml:space="preserve">that have </w:t>
      </w:r>
      <w:r w:rsidRPr="00281428">
        <w:rPr>
          <w:b/>
          <w:szCs w:val="24"/>
          <w:u w:val="single"/>
        </w:rPr>
        <w:t>identical</w:t>
      </w:r>
      <w:r w:rsidR="00D04A41" w:rsidRPr="00281428">
        <w:rPr>
          <w:b/>
          <w:szCs w:val="24"/>
          <w:u w:val="single"/>
        </w:rPr>
        <w:t>ly labeled</w:t>
      </w:r>
      <w:r w:rsidRPr="00281428">
        <w:rPr>
          <w:b/>
          <w:szCs w:val="24"/>
          <w:u w:val="single"/>
        </w:rPr>
        <w:t xml:space="preserve"> quantities </w:t>
      </w:r>
      <w:r w:rsidR="00C14287" w:rsidRPr="00281428">
        <w:rPr>
          <w:b/>
          <w:szCs w:val="24"/>
          <w:u w:val="single"/>
        </w:rPr>
        <w:t xml:space="preserve">or </w:t>
      </w:r>
      <w:r w:rsidR="009221C5" w:rsidRPr="00281428">
        <w:rPr>
          <w:b/>
          <w:szCs w:val="24"/>
          <w:u w:val="single"/>
        </w:rPr>
        <w:t xml:space="preserve">in </w:t>
      </w:r>
      <w:r w:rsidR="00D04A41" w:rsidRPr="00281428">
        <w:rPr>
          <w:b/>
          <w:szCs w:val="24"/>
          <w:u w:val="single"/>
        </w:rPr>
        <w:t xml:space="preserve">verifying </w:t>
      </w:r>
      <w:r w:rsidR="009221C5" w:rsidRPr="00281428">
        <w:rPr>
          <w:b/>
          <w:szCs w:val="24"/>
          <w:u w:val="single"/>
        </w:rPr>
        <w:t xml:space="preserve">retail </w:t>
      </w:r>
      <w:r w:rsidRPr="00281428">
        <w:rPr>
          <w:b/>
          <w:szCs w:val="24"/>
          <w:u w:val="single"/>
        </w:rPr>
        <w:t xml:space="preserve">variety packages with individual inner packages </w:t>
      </w:r>
      <w:r w:rsidRPr="00281428">
        <w:rPr>
          <w:b/>
          <w:szCs w:val="20"/>
          <w:u w:val="single"/>
        </w:rPr>
        <w:t xml:space="preserve">that differ in </w:t>
      </w:r>
      <w:r w:rsidR="00D04A41" w:rsidRPr="00281428">
        <w:rPr>
          <w:b/>
          <w:szCs w:val="20"/>
          <w:u w:val="single"/>
        </w:rPr>
        <w:t xml:space="preserve">labeled </w:t>
      </w:r>
      <w:r w:rsidRPr="00281428">
        <w:rPr>
          <w:b/>
          <w:szCs w:val="20"/>
          <w:u w:val="single"/>
        </w:rPr>
        <w:t xml:space="preserve">weight, </w:t>
      </w:r>
      <w:proofErr w:type="gramStart"/>
      <w:r w:rsidRPr="00281428">
        <w:rPr>
          <w:b/>
          <w:szCs w:val="20"/>
          <w:u w:val="single"/>
        </w:rPr>
        <w:t>measure</w:t>
      </w:r>
      <w:proofErr w:type="gramEnd"/>
      <w:r w:rsidRPr="00281428">
        <w:rPr>
          <w:b/>
          <w:szCs w:val="20"/>
          <w:u w:val="single"/>
        </w:rPr>
        <w:t xml:space="preserve"> or volume</w:t>
      </w:r>
      <w:r w:rsidRPr="00281428">
        <w:rPr>
          <w:b/>
          <w:szCs w:val="24"/>
          <w:u w:val="single"/>
        </w:rPr>
        <w:t xml:space="preserve">.  </w:t>
      </w:r>
    </w:p>
    <w:p w14:paraId="03534095" w14:textId="0EFC6F20" w:rsidR="00C14287" w:rsidRPr="00281428" w:rsidRDefault="000A6363" w:rsidP="00DA1FCD">
      <w:pPr>
        <w:pStyle w:val="ListParagraph"/>
        <w:numPr>
          <w:ilvl w:val="0"/>
          <w:numId w:val="38"/>
        </w:numPr>
        <w:rPr>
          <w:b/>
          <w:szCs w:val="24"/>
          <w:u w:val="single"/>
        </w:rPr>
      </w:pPr>
      <w:r w:rsidRPr="00281428">
        <w:rPr>
          <w:b/>
          <w:szCs w:val="24"/>
          <w:u w:val="single"/>
        </w:rPr>
        <w:t xml:space="preserve">The procedure used is determined by </w:t>
      </w:r>
      <w:r w:rsidR="00C14287" w:rsidRPr="00281428">
        <w:rPr>
          <w:b/>
          <w:szCs w:val="24"/>
          <w:u w:val="single"/>
        </w:rPr>
        <w:t>using the labeled net contents</w:t>
      </w:r>
      <w:r w:rsidRPr="00281428">
        <w:rPr>
          <w:b/>
          <w:szCs w:val="24"/>
          <w:u w:val="single"/>
        </w:rPr>
        <w:t xml:space="preserve">.  </w:t>
      </w:r>
    </w:p>
    <w:p w14:paraId="7E1C68BD" w14:textId="7927B643" w:rsidR="00C14287" w:rsidRPr="00281428" w:rsidRDefault="009221C5" w:rsidP="00DA1FCD">
      <w:pPr>
        <w:pStyle w:val="ListParagraph"/>
        <w:numPr>
          <w:ilvl w:val="1"/>
          <w:numId w:val="38"/>
        </w:numPr>
        <w:ind w:left="1080"/>
        <w:rPr>
          <w:b/>
          <w:szCs w:val="24"/>
          <w:u w:val="single"/>
        </w:rPr>
      </w:pPr>
      <w:r w:rsidRPr="00281428">
        <w:rPr>
          <w:b/>
          <w:szCs w:val="24"/>
          <w:u w:val="single"/>
        </w:rPr>
        <w:lastRenderedPageBreak/>
        <w:t>Use Section 5.2. “Individual Package Quantity” i</w:t>
      </w:r>
      <w:r w:rsidR="000A6363" w:rsidRPr="00281428">
        <w:rPr>
          <w:b/>
          <w:szCs w:val="24"/>
          <w:u w:val="single"/>
        </w:rPr>
        <w:t>f a total net quantity of contents is not declared on the label</w:t>
      </w:r>
      <w:r w:rsidRPr="00281428">
        <w:rPr>
          <w:b/>
          <w:szCs w:val="24"/>
          <w:u w:val="single"/>
        </w:rPr>
        <w:t xml:space="preserve"> of a multiunit or variety package of food for human consumption or meat or meat products from a USDA official establishment (see explanation in Section 5.2. for specific exemptions to requirement for a total net quantity statement.)</w:t>
      </w:r>
    </w:p>
    <w:p w14:paraId="7D6082F9" w14:textId="555DBC00" w:rsidR="009221C5" w:rsidRPr="00281428" w:rsidRDefault="009221C5" w:rsidP="009221C5">
      <w:pPr>
        <w:pStyle w:val="ListParagraph"/>
        <w:numPr>
          <w:ilvl w:val="0"/>
          <w:numId w:val="102"/>
        </w:numPr>
        <w:rPr>
          <w:b/>
          <w:szCs w:val="24"/>
          <w:u w:val="single"/>
        </w:rPr>
      </w:pPr>
      <w:r w:rsidRPr="00281428">
        <w:rPr>
          <w:b/>
          <w:szCs w:val="24"/>
          <w:u w:val="single"/>
        </w:rPr>
        <w:t xml:space="preserve">Use Section 5.3. “Total Quantity” if </w:t>
      </w:r>
      <w:r w:rsidR="000A6363" w:rsidRPr="00281428">
        <w:rPr>
          <w:b/>
          <w:szCs w:val="24"/>
          <w:u w:val="single"/>
        </w:rPr>
        <w:t>a total net quantity of contents is declared on the package.</w:t>
      </w:r>
    </w:p>
    <w:p w14:paraId="53B2C52C" w14:textId="35F5616C" w:rsidR="000A6363" w:rsidRPr="00281428" w:rsidRDefault="00C14287" w:rsidP="009221C5">
      <w:pPr>
        <w:ind w:left="720"/>
        <w:rPr>
          <w:b/>
          <w:szCs w:val="24"/>
          <w:u w:val="single"/>
        </w:rPr>
      </w:pPr>
      <w:r w:rsidRPr="00281428">
        <w:rPr>
          <w:b/>
          <w:szCs w:val="24"/>
          <w:u w:val="single"/>
        </w:rPr>
        <w:t xml:space="preserve">Note:  </w:t>
      </w:r>
      <w:r w:rsidR="000A6363" w:rsidRPr="00281428">
        <w:rPr>
          <w:b/>
          <w:szCs w:val="24"/>
          <w:u w:val="single"/>
        </w:rPr>
        <w:t xml:space="preserve">If the packages are labeled with additional </w:t>
      </w:r>
      <w:r w:rsidR="003232B5" w:rsidRPr="00281428">
        <w:rPr>
          <w:b/>
          <w:szCs w:val="24"/>
          <w:u w:val="single"/>
        </w:rPr>
        <w:t xml:space="preserve">quantity statements </w:t>
      </w:r>
      <w:r w:rsidR="000A6363" w:rsidRPr="00281428">
        <w:rPr>
          <w:b/>
          <w:szCs w:val="24"/>
          <w:u w:val="single"/>
        </w:rPr>
        <w:t>(i.e., dry volume, area, length, width, or thickness)</w:t>
      </w:r>
      <w:r w:rsidR="003232B5" w:rsidRPr="00281428">
        <w:rPr>
          <w:b/>
          <w:szCs w:val="24"/>
          <w:u w:val="single"/>
        </w:rPr>
        <w:t>,</w:t>
      </w:r>
      <w:r w:rsidR="000A6363" w:rsidRPr="00281428">
        <w:rPr>
          <w:b/>
          <w:szCs w:val="24"/>
          <w:u w:val="single"/>
        </w:rPr>
        <w:t xml:space="preserve"> added steps or, when proper, additional Total Quantity MAVs may be required</w:t>
      </w:r>
      <w:r w:rsidR="009221C5" w:rsidRPr="00281428">
        <w:rPr>
          <w:b/>
          <w:szCs w:val="24"/>
          <w:u w:val="single"/>
        </w:rPr>
        <w:t xml:space="preserve"> in testing the accuracy of additional quantity statements</w:t>
      </w:r>
      <w:r w:rsidR="000A6363" w:rsidRPr="00281428">
        <w:rPr>
          <w:b/>
          <w:szCs w:val="24"/>
          <w:u w:val="single"/>
        </w:rPr>
        <w:t xml:space="preserve">.  </w:t>
      </w:r>
    </w:p>
    <w:p w14:paraId="0C43157C" w14:textId="67AADFCC" w:rsidR="000A6363" w:rsidRPr="00281428" w:rsidRDefault="000A6363" w:rsidP="000803DF">
      <w:pPr>
        <w:spacing w:before="100" w:beforeAutospacing="1"/>
        <w:rPr>
          <w:b/>
          <w:szCs w:val="24"/>
          <w:u w:val="single"/>
        </w:rPr>
      </w:pPr>
      <w:bookmarkStart w:id="50" w:name="_Hlk523126007"/>
      <w:r w:rsidRPr="00281428">
        <w:rPr>
          <w:b/>
          <w:szCs w:val="24"/>
          <w:u w:val="single"/>
        </w:rPr>
        <w:t>5.2.</w:t>
      </w:r>
      <w:r w:rsidR="00FC7D97" w:rsidRPr="00281428">
        <w:rPr>
          <w:b/>
          <w:szCs w:val="24"/>
          <w:u w:val="single"/>
        </w:rPr>
        <w:t xml:space="preserve">  </w:t>
      </w:r>
      <w:r w:rsidRPr="00281428">
        <w:rPr>
          <w:b/>
          <w:szCs w:val="24"/>
          <w:u w:val="single"/>
        </w:rPr>
        <w:t xml:space="preserve">Individual Package Quantity </w:t>
      </w:r>
    </w:p>
    <w:p w14:paraId="049BEA20" w14:textId="08023EF2" w:rsidR="000A6363" w:rsidRPr="00281428" w:rsidRDefault="000A6363" w:rsidP="000803DF">
      <w:pPr>
        <w:rPr>
          <w:b/>
          <w:szCs w:val="24"/>
          <w:u w:val="single"/>
        </w:rPr>
      </w:pPr>
      <w:bookmarkStart w:id="51" w:name="_Hlk63153758"/>
      <w:r w:rsidRPr="00281428">
        <w:rPr>
          <w:b/>
          <w:szCs w:val="24"/>
          <w:u w:val="single"/>
        </w:rPr>
        <w:t>This procedure is used</w:t>
      </w:r>
      <w:r w:rsidR="007B5C73" w:rsidRPr="00281428">
        <w:rPr>
          <w:b/>
          <w:szCs w:val="24"/>
          <w:u w:val="single"/>
        </w:rPr>
        <w:t xml:space="preserve"> </w:t>
      </w:r>
      <w:r w:rsidR="000E4239" w:rsidRPr="00281428">
        <w:rPr>
          <w:b/>
          <w:szCs w:val="24"/>
          <w:u w:val="single"/>
        </w:rPr>
        <w:t>only for verifying the total content statement of open or transparent-wrapped multiunit packages of foods for human consumption or meat or meat products under the authority of FDA or USDA, respectively.  Under USDA-FSIS regulations (</w:t>
      </w:r>
      <w:hyperlink r:id="rId13" w:history="1">
        <w:r w:rsidR="000E4239" w:rsidRPr="00281428">
          <w:rPr>
            <w:rStyle w:val="Hyperlink"/>
            <w:b/>
            <w:noProof w:val="0"/>
            <w:szCs w:val="24"/>
          </w:rPr>
          <w:t>9 CFR 317.2</w:t>
        </w:r>
      </w:hyperlink>
      <w:r w:rsidR="000E4239" w:rsidRPr="00281428">
        <w:rPr>
          <w:b/>
          <w:szCs w:val="24"/>
          <w:u w:val="single"/>
        </w:rPr>
        <w:t xml:space="preserve"> [h][12]) and FDA regulations (</w:t>
      </w:r>
      <w:hyperlink r:id="rId14" w:history="1">
        <w:r w:rsidR="000E4239" w:rsidRPr="00281428">
          <w:rPr>
            <w:rStyle w:val="Hyperlink"/>
            <w:b/>
            <w:noProof w:val="0"/>
            <w:szCs w:val="24"/>
          </w:rPr>
          <w:t xml:space="preserve">21 CFR 101.7 </w:t>
        </w:r>
      </w:hyperlink>
      <w:r w:rsidR="000E4239" w:rsidRPr="00281428">
        <w:rPr>
          <w:b/>
          <w:szCs w:val="24"/>
          <w:u w:val="single"/>
        </w:rPr>
        <w:t xml:space="preserve"> Chapter I [s]), such open multiunit packages that do not obscure the number of individual inner packages or the labeling of each individual inner package (compliant with all other location, type size, and applicable requirements) are not required to bear a total net quantity statement on the outside of the package</w:t>
      </w:r>
      <w:r w:rsidRPr="00281428">
        <w:rPr>
          <w:b/>
          <w:szCs w:val="24"/>
          <w:u w:val="single"/>
        </w:rPr>
        <w:t xml:space="preserve"> (</w:t>
      </w:r>
      <w:r w:rsidR="00023D2E" w:rsidRPr="00281428">
        <w:rPr>
          <w:b/>
          <w:szCs w:val="24"/>
          <w:u w:val="single"/>
        </w:rPr>
        <w:t xml:space="preserve">see </w:t>
      </w:r>
      <w:r w:rsidRPr="00281428">
        <w:rPr>
          <w:b/>
          <w:szCs w:val="24"/>
          <w:u w:val="single"/>
        </w:rPr>
        <w:t xml:space="preserve">Figure </w:t>
      </w:r>
      <w:r w:rsidRPr="00281428">
        <w:rPr>
          <w:b/>
          <w:szCs w:val="20"/>
          <w:u w:val="single"/>
        </w:rPr>
        <w:t xml:space="preserve">1.  </w:t>
      </w:r>
      <w:r w:rsidR="000E4239" w:rsidRPr="00281428">
        <w:rPr>
          <w:b/>
          <w:szCs w:val="20"/>
          <w:u w:val="single"/>
        </w:rPr>
        <w:t>Open or Transparent Multiunit Package with Fully Visible Individual Quantity Declarations</w:t>
      </w:r>
      <w:r w:rsidRPr="00281428">
        <w:rPr>
          <w:b/>
          <w:szCs w:val="24"/>
          <w:u w:val="single"/>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40"/>
        <w:gridCol w:w="1440"/>
        <w:gridCol w:w="1440"/>
        <w:gridCol w:w="1440"/>
        <w:gridCol w:w="1440"/>
      </w:tblGrid>
      <w:tr w:rsidR="000A6363" w:rsidRPr="00281428" w14:paraId="077669AD" w14:textId="77777777" w:rsidTr="00861DF2">
        <w:trPr>
          <w:jc w:val="center"/>
        </w:trPr>
        <w:tc>
          <w:tcPr>
            <w:tcW w:w="1440" w:type="dxa"/>
            <w:shd w:val="clear" w:color="auto" w:fill="auto"/>
            <w:vAlign w:val="center"/>
          </w:tcPr>
          <w:bookmarkEnd w:id="51"/>
          <w:p w14:paraId="2F5D6D1F" w14:textId="77777777" w:rsidR="00F80C77" w:rsidRPr="00281428" w:rsidRDefault="00F80C77" w:rsidP="00F80C77">
            <w:pPr>
              <w:spacing w:before="120" w:after="720"/>
              <w:jc w:val="center"/>
            </w:pPr>
            <w:r w:rsidRPr="00281428">
              <w:t>Cereal</w:t>
            </w:r>
          </w:p>
          <w:p w14:paraId="177DFCEB" w14:textId="77777777" w:rsidR="000A6363" w:rsidRPr="00281428" w:rsidRDefault="000A6363" w:rsidP="000803DF">
            <w:pPr>
              <w:spacing w:after="0"/>
              <w:jc w:val="center"/>
              <w:rPr>
                <w:sz w:val="18"/>
                <w:szCs w:val="18"/>
              </w:rPr>
            </w:pPr>
            <w:r w:rsidRPr="00281428">
              <w:rPr>
                <w:sz w:val="18"/>
                <w:szCs w:val="18"/>
              </w:rPr>
              <w:t>Net Wt</w:t>
            </w:r>
          </w:p>
          <w:p w14:paraId="575C79EB" w14:textId="028FFEED" w:rsidR="000A6363" w:rsidRPr="00281428" w:rsidRDefault="000A6363" w:rsidP="000803DF">
            <w:pPr>
              <w:spacing w:after="16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11BE0F34" w14:textId="77777777" w:rsidR="000A6363" w:rsidRPr="00281428" w:rsidRDefault="000A6363" w:rsidP="000803DF">
            <w:pPr>
              <w:spacing w:after="720"/>
              <w:jc w:val="center"/>
            </w:pPr>
            <w:r w:rsidRPr="00281428">
              <w:t>Cereal</w:t>
            </w:r>
          </w:p>
          <w:p w14:paraId="435A07C5" w14:textId="77777777" w:rsidR="000A6363" w:rsidRPr="00281428" w:rsidRDefault="000A6363" w:rsidP="000803DF">
            <w:pPr>
              <w:spacing w:after="0"/>
              <w:jc w:val="center"/>
              <w:rPr>
                <w:sz w:val="18"/>
                <w:szCs w:val="18"/>
              </w:rPr>
            </w:pPr>
            <w:r w:rsidRPr="00281428">
              <w:rPr>
                <w:sz w:val="18"/>
                <w:szCs w:val="18"/>
              </w:rPr>
              <w:t>Net Wt</w:t>
            </w:r>
          </w:p>
          <w:p w14:paraId="6FE8EE26" w14:textId="5BF7938E"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560522FC" w14:textId="77777777" w:rsidR="000A6363" w:rsidRPr="00281428" w:rsidRDefault="000A6363" w:rsidP="000803DF">
            <w:pPr>
              <w:spacing w:after="720"/>
              <w:jc w:val="center"/>
            </w:pPr>
            <w:r w:rsidRPr="00281428">
              <w:t>Cereal</w:t>
            </w:r>
          </w:p>
          <w:p w14:paraId="1E1C0F11" w14:textId="77777777" w:rsidR="000A6363" w:rsidRPr="00281428" w:rsidRDefault="000A6363" w:rsidP="000803DF">
            <w:pPr>
              <w:spacing w:after="0"/>
              <w:jc w:val="center"/>
              <w:rPr>
                <w:sz w:val="18"/>
                <w:szCs w:val="18"/>
              </w:rPr>
            </w:pPr>
            <w:r w:rsidRPr="00281428">
              <w:rPr>
                <w:sz w:val="18"/>
                <w:szCs w:val="18"/>
              </w:rPr>
              <w:t>Net Wt</w:t>
            </w:r>
          </w:p>
          <w:p w14:paraId="357AB9C5" w14:textId="2D3D3B09"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4035960E" w14:textId="77777777" w:rsidR="000A6363" w:rsidRPr="00281428" w:rsidRDefault="000A6363" w:rsidP="000803DF">
            <w:pPr>
              <w:spacing w:after="720"/>
              <w:jc w:val="center"/>
            </w:pPr>
            <w:r w:rsidRPr="00281428">
              <w:t>Cereal</w:t>
            </w:r>
          </w:p>
          <w:p w14:paraId="62CA689B" w14:textId="77777777" w:rsidR="000A6363" w:rsidRPr="00281428" w:rsidRDefault="000A6363" w:rsidP="000803DF">
            <w:pPr>
              <w:spacing w:after="0"/>
              <w:jc w:val="center"/>
              <w:rPr>
                <w:sz w:val="18"/>
                <w:szCs w:val="18"/>
              </w:rPr>
            </w:pPr>
            <w:r w:rsidRPr="00281428">
              <w:rPr>
                <w:sz w:val="18"/>
                <w:szCs w:val="18"/>
              </w:rPr>
              <w:t>Net Wt</w:t>
            </w:r>
          </w:p>
          <w:p w14:paraId="0A1BF421" w14:textId="34E69A1F"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6D714617" w14:textId="77777777" w:rsidR="000A6363" w:rsidRPr="00281428" w:rsidRDefault="000A6363" w:rsidP="000803DF">
            <w:pPr>
              <w:spacing w:after="720"/>
              <w:jc w:val="center"/>
            </w:pPr>
            <w:r w:rsidRPr="00281428">
              <w:t>Cereal</w:t>
            </w:r>
          </w:p>
          <w:p w14:paraId="2D9AD1B9" w14:textId="77777777" w:rsidR="000A6363" w:rsidRPr="00281428" w:rsidRDefault="000A6363" w:rsidP="000803DF">
            <w:pPr>
              <w:spacing w:after="0"/>
              <w:jc w:val="center"/>
              <w:rPr>
                <w:sz w:val="18"/>
                <w:szCs w:val="18"/>
              </w:rPr>
            </w:pPr>
            <w:r w:rsidRPr="00281428">
              <w:rPr>
                <w:sz w:val="18"/>
                <w:szCs w:val="18"/>
              </w:rPr>
              <w:t>Net Wt</w:t>
            </w:r>
          </w:p>
          <w:p w14:paraId="276C794E" w14:textId="3F99D796"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r>
    </w:tbl>
    <w:bookmarkEnd w:id="50"/>
    <w:p w14:paraId="4E44029F" w14:textId="40D9E4BA" w:rsidR="00792552" w:rsidRPr="00281428" w:rsidRDefault="000C3052" w:rsidP="00792552">
      <w:pPr>
        <w:tabs>
          <w:tab w:val="left" w:pos="1080"/>
        </w:tabs>
        <w:spacing w:before="360"/>
        <w:ind w:left="720" w:hanging="360"/>
        <w:rPr>
          <w:b/>
          <w:szCs w:val="24"/>
          <w:u w:val="single"/>
        </w:rPr>
      </w:pPr>
      <w:r w:rsidRPr="00281428">
        <w:rPr>
          <w:b/>
          <w:noProof/>
        </w:rPr>
        <mc:AlternateContent>
          <mc:Choice Requires="wps">
            <w:drawing>
              <wp:anchor distT="45720" distB="45720" distL="114300" distR="114300" simplePos="0" relativeHeight="251658240" behindDoc="0" locked="0" layoutInCell="1" allowOverlap="1" wp14:anchorId="2A61EAEE" wp14:editId="39D387FF">
                <wp:simplePos x="0" y="0"/>
                <wp:positionH relativeFrom="margin">
                  <wp:posOffset>698500</wp:posOffset>
                </wp:positionH>
                <wp:positionV relativeFrom="paragraph">
                  <wp:posOffset>48260</wp:posOffset>
                </wp:positionV>
                <wp:extent cx="4559300" cy="40640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406400"/>
                        </a:xfrm>
                        <a:prstGeom prst="rect">
                          <a:avLst/>
                        </a:prstGeom>
                        <a:solidFill>
                          <a:srgbClr val="FFFFFF"/>
                        </a:solidFill>
                        <a:ln w="9525">
                          <a:noFill/>
                          <a:miter lim="800000"/>
                          <a:headEnd/>
                          <a:tailEnd/>
                        </a:ln>
                      </wps:spPr>
                      <wps:txbx>
                        <w:txbxContent>
                          <w:p w14:paraId="6759B73E" w14:textId="5F3813E9" w:rsidR="000A4892" w:rsidRDefault="000A4892" w:rsidP="002F0196">
                            <w:pPr>
                              <w:jc w:val="center"/>
                            </w:pPr>
                            <w:r w:rsidRPr="000C3052">
                              <w:rPr>
                                <w:b/>
                              </w:rPr>
                              <w:t xml:space="preserve">Figure 1.  </w:t>
                            </w:r>
                            <w:bookmarkStart w:id="52" w:name="_Hlk62824919"/>
                            <w:r>
                              <w:rPr>
                                <w:b/>
                              </w:rPr>
                              <w:t xml:space="preserve">Open or Transparent </w:t>
                            </w:r>
                            <w:r w:rsidRPr="000C3052">
                              <w:rPr>
                                <w:b/>
                              </w:rPr>
                              <w:t>Multiunit Package</w:t>
                            </w:r>
                            <w:r>
                              <w:rPr>
                                <w:b/>
                              </w:rPr>
                              <w:t xml:space="preserve"> </w:t>
                            </w:r>
                            <w:r w:rsidRPr="00281428">
                              <w:rPr>
                                <w:b/>
                              </w:rPr>
                              <w:t>with Fully Visible Individual Quantity Declarations</w:t>
                            </w:r>
                            <w:bookmarkEnd w:id="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EAEE" id="_x0000_t202" coordsize="21600,21600" o:spt="202" path="m,l,21600r21600,l21600,xe">
                <v:stroke joinstyle="miter"/>
                <v:path gradientshapeok="t" o:connecttype="rect"/>
              </v:shapetype>
              <v:shape id="Text Box 2" o:spid="_x0000_s1026" type="#_x0000_t202" alt="&quot;&quot;" style="position:absolute;left:0;text-align:left;margin-left:55pt;margin-top:3.8pt;width:359pt;height:3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MnIAIAAB0EAAAOAAAAZHJzL2Uyb0RvYy54bWysU81u2zAMvg/YOwi6L3Y8p2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" stroked="f">
                <v:textbox>
                  <w:txbxContent>
                    <w:p w14:paraId="6759B73E" w14:textId="5F3813E9" w:rsidR="000A4892" w:rsidRDefault="000A4892" w:rsidP="002F0196">
                      <w:pPr>
                        <w:jc w:val="center"/>
                      </w:pPr>
                      <w:r w:rsidRPr="000C3052">
                        <w:rPr>
                          <w:b/>
                        </w:rPr>
                        <w:t xml:space="preserve">Figure 1.  </w:t>
                      </w:r>
                      <w:bookmarkStart w:id="53" w:name="_Hlk62824919"/>
                      <w:r>
                        <w:rPr>
                          <w:b/>
                        </w:rPr>
                        <w:t xml:space="preserve">Open or Transparent </w:t>
                      </w:r>
                      <w:r w:rsidRPr="000C3052">
                        <w:rPr>
                          <w:b/>
                        </w:rPr>
                        <w:t>Multiunit Package</w:t>
                      </w:r>
                      <w:r>
                        <w:rPr>
                          <w:b/>
                        </w:rPr>
                        <w:t xml:space="preserve"> </w:t>
                      </w:r>
                      <w:r w:rsidRPr="00281428">
                        <w:rPr>
                          <w:b/>
                        </w:rPr>
                        <w:t>with Fully Visible Individual Quantity Declarations</w:t>
                      </w:r>
                      <w:bookmarkEnd w:id="53"/>
                    </w:p>
                  </w:txbxContent>
                </v:textbox>
                <w10:wrap type="square" anchorx="margin"/>
              </v:shape>
            </w:pict>
          </mc:Fallback>
        </mc:AlternateContent>
      </w:r>
    </w:p>
    <w:p w14:paraId="5064E996" w14:textId="2DE847E1" w:rsidR="000A6363" w:rsidRPr="00281428" w:rsidRDefault="000A6363" w:rsidP="00DF1D51">
      <w:pPr>
        <w:tabs>
          <w:tab w:val="left" w:pos="1080"/>
        </w:tabs>
        <w:spacing w:before="360"/>
        <w:ind w:left="720" w:hanging="360"/>
        <w:rPr>
          <w:b/>
          <w:szCs w:val="24"/>
          <w:u w:val="single"/>
        </w:rPr>
      </w:pPr>
      <w:r w:rsidRPr="00281428">
        <w:rPr>
          <w:b/>
          <w:szCs w:val="24"/>
          <w:u w:val="single"/>
        </w:rPr>
        <w:t>5.2.1.</w:t>
      </w:r>
      <w:r w:rsidRPr="00281428">
        <w:rPr>
          <w:b/>
          <w:szCs w:val="24"/>
        </w:rPr>
        <w:tab/>
      </w:r>
      <w:r w:rsidRPr="00281428">
        <w:rPr>
          <w:b/>
          <w:szCs w:val="24"/>
          <w:u w:val="single"/>
        </w:rPr>
        <w:t>Test Procedure</w:t>
      </w:r>
      <w:r w:rsidR="00023D2E" w:rsidRPr="00281428">
        <w:rPr>
          <w:b/>
          <w:szCs w:val="24"/>
          <w:u w:val="single"/>
        </w:rPr>
        <w:t xml:space="preserve"> for Multiunit Packages</w:t>
      </w:r>
      <w:r w:rsidR="007B5C73" w:rsidRPr="00281428">
        <w:rPr>
          <w:b/>
          <w:szCs w:val="24"/>
          <w:u w:val="single"/>
        </w:rPr>
        <w:t xml:space="preserve"> Exempt from Total Quantity Statement (see Section 5.2.</w:t>
      </w:r>
      <w:r w:rsidR="00CE3008" w:rsidRPr="00281428">
        <w:rPr>
          <w:b/>
          <w:szCs w:val="24"/>
          <w:u w:val="single"/>
        </w:rPr>
        <w:t>)</w:t>
      </w:r>
      <w:r w:rsidR="007B5C73" w:rsidRPr="00281428">
        <w:rPr>
          <w:b/>
          <w:szCs w:val="24"/>
          <w:u w:val="single"/>
        </w:rPr>
        <w:t xml:space="preserve"> </w:t>
      </w:r>
      <w:r w:rsidR="007B5C73" w:rsidRPr="00281428">
        <w:rPr>
          <w:bCs/>
          <w:szCs w:val="24"/>
        </w:rPr>
        <w:tab/>
      </w:r>
    </w:p>
    <w:p w14:paraId="4A61F549" w14:textId="51C8F3ED" w:rsidR="000A6363" w:rsidRPr="00281428" w:rsidRDefault="000A6363" w:rsidP="00792552">
      <w:pPr>
        <w:numPr>
          <w:ilvl w:val="0"/>
          <w:numId w:val="23"/>
        </w:numPr>
        <w:ind w:left="1080"/>
        <w:rPr>
          <w:b/>
          <w:szCs w:val="20"/>
          <w:u w:val="single"/>
        </w:rPr>
      </w:pPr>
      <w:bookmarkStart w:id="54" w:name="_Hlk517944404"/>
      <w:r w:rsidRPr="00281428">
        <w:rPr>
          <w:b/>
          <w:szCs w:val="20"/>
          <w:u w:val="single"/>
        </w:rPr>
        <w:t>Follow Section 2.3.1. “Define the Inspection Lot</w:t>
      </w:r>
      <w:r w:rsidR="00023D2E" w:rsidRPr="00281428">
        <w:rPr>
          <w:b/>
          <w:szCs w:val="20"/>
          <w:u w:val="single"/>
        </w:rPr>
        <w:t>.</w:t>
      </w:r>
      <w:r w:rsidRPr="00281428">
        <w:rPr>
          <w:b/>
          <w:szCs w:val="20"/>
          <w:u w:val="single"/>
        </w:rPr>
        <w:t xml:space="preserve">” </w:t>
      </w:r>
      <w:r w:rsidR="00023D2E" w:rsidRPr="00281428">
        <w:rPr>
          <w:b/>
          <w:szCs w:val="20"/>
          <w:u w:val="single"/>
        </w:rPr>
        <w:t xml:space="preserve">  The inspection lot is defined as </w:t>
      </w:r>
      <w:r w:rsidRPr="00281428">
        <w:rPr>
          <w:b/>
          <w:szCs w:val="20"/>
          <w:u w:val="single"/>
        </w:rPr>
        <w:t xml:space="preserve">the total number of individual inner packages in the multiunit packages (e.g., 120 packages </w:t>
      </w:r>
      <w:r w:rsidR="00023D2E" w:rsidRPr="00281428">
        <w:rPr>
          <w:b/>
          <w:szCs w:val="20"/>
          <w:u w:val="single"/>
        </w:rPr>
        <w:t>×</w:t>
      </w:r>
      <w:r w:rsidRPr="00281428">
        <w:rPr>
          <w:b/>
          <w:szCs w:val="20"/>
          <w:u w:val="single"/>
        </w:rPr>
        <w:t xml:space="preserve"> 12 individual inner packages</w:t>
      </w:r>
      <w:r w:rsidR="00023D2E" w:rsidRPr="00281428">
        <w:rPr>
          <w:b/>
          <w:szCs w:val="20"/>
          <w:u w:val="single"/>
        </w:rPr>
        <w:t xml:space="preserve"> = </w:t>
      </w:r>
      <w:r w:rsidRPr="00281428">
        <w:rPr>
          <w:b/>
          <w:szCs w:val="20"/>
          <w:u w:val="single"/>
        </w:rPr>
        <w:t xml:space="preserve">Inspection Lot size is 1440).  </w:t>
      </w:r>
      <w:bookmarkStart w:id="55" w:name="_Hlk517944709"/>
      <w:bookmarkStart w:id="56" w:name="_Hlk517944369"/>
      <w:r w:rsidR="00023D2E" w:rsidRPr="00281428">
        <w:rPr>
          <w:b/>
          <w:szCs w:val="20"/>
          <w:u w:val="single"/>
        </w:rPr>
        <w:t>Select</w:t>
      </w:r>
      <w:r w:rsidRPr="00281428">
        <w:rPr>
          <w:b/>
          <w:szCs w:val="20"/>
          <w:u w:val="single"/>
        </w:rPr>
        <w:t xml:space="preserve"> </w:t>
      </w:r>
      <w:r w:rsidR="00023D2E" w:rsidRPr="00281428">
        <w:rPr>
          <w:b/>
          <w:szCs w:val="20"/>
          <w:u w:val="single"/>
        </w:rPr>
        <w:t>“</w:t>
      </w:r>
      <w:r w:rsidRPr="00281428">
        <w:rPr>
          <w:b/>
          <w:szCs w:val="20"/>
          <w:u w:val="single"/>
        </w:rPr>
        <w:t>Category A</w:t>
      </w:r>
      <w:r w:rsidR="00023D2E" w:rsidRPr="00281428">
        <w:rPr>
          <w:b/>
          <w:szCs w:val="20"/>
          <w:u w:val="single"/>
        </w:rPr>
        <w:t>”</w:t>
      </w:r>
      <w:r w:rsidRPr="00281428">
        <w:rPr>
          <w:b/>
          <w:szCs w:val="20"/>
          <w:u w:val="single"/>
        </w:rPr>
        <w:t xml:space="preserve"> or </w:t>
      </w:r>
      <w:r w:rsidR="00023D2E" w:rsidRPr="00281428">
        <w:rPr>
          <w:b/>
          <w:szCs w:val="20"/>
          <w:u w:val="single"/>
        </w:rPr>
        <w:t>“</w:t>
      </w:r>
      <w:r w:rsidRPr="00281428">
        <w:rPr>
          <w:b/>
          <w:szCs w:val="20"/>
          <w:u w:val="single"/>
        </w:rPr>
        <w:t>Category B</w:t>
      </w:r>
      <w:r w:rsidR="00023D2E" w:rsidRPr="00281428">
        <w:rPr>
          <w:b/>
          <w:szCs w:val="20"/>
          <w:u w:val="single"/>
        </w:rPr>
        <w:t>”</w:t>
      </w:r>
      <w:r w:rsidRPr="00281428">
        <w:rPr>
          <w:b/>
          <w:szCs w:val="20"/>
          <w:u w:val="single"/>
        </w:rPr>
        <w:t xml:space="preserve"> sampl</w:t>
      </w:r>
      <w:r w:rsidR="00023D2E" w:rsidRPr="00281428">
        <w:rPr>
          <w:b/>
          <w:szCs w:val="20"/>
          <w:u w:val="single"/>
        </w:rPr>
        <w:t>ing plan in the inspection (depending on location of test) and s</w:t>
      </w:r>
      <w:r w:rsidRPr="00281428">
        <w:rPr>
          <w:b/>
          <w:szCs w:val="20"/>
          <w:u w:val="single"/>
        </w:rPr>
        <w:t>elect a random sample (See Section 2.3.4. “Random Sample Selection”).</w:t>
      </w:r>
      <w:bookmarkEnd w:id="55"/>
      <w:r w:rsidRPr="00281428">
        <w:rPr>
          <w:b/>
          <w:szCs w:val="20"/>
          <w:u w:val="single"/>
        </w:rPr>
        <w:t xml:space="preserve"> </w:t>
      </w:r>
      <w:bookmarkEnd w:id="56"/>
    </w:p>
    <w:bookmarkEnd w:id="54"/>
    <w:p w14:paraId="2B0BCA89" w14:textId="3498A890" w:rsidR="000A6363" w:rsidRPr="00281428" w:rsidRDefault="000A6363" w:rsidP="00A96162">
      <w:pPr>
        <w:ind w:left="1080" w:hanging="360"/>
        <w:rPr>
          <w:b/>
          <w:szCs w:val="20"/>
          <w:u w:val="single"/>
        </w:rPr>
      </w:pPr>
      <w:r w:rsidRPr="00281428">
        <w:rPr>
          <w:b/>
          <w:szCs w:val="20"/>
          <w:u w:val="single"/>
        </w:rPr>
        <w:t>2.</w:t>
      </w:r>
      <w:r w:rsidRPr="00281428">
        <w:rPr>
          <w:b/>
          <w:szCs w:val="20"/>
        </w:rPr>
        <w:tab/>
      </w:r>
      <w:r w:rsidR="00023D2E" w:rsidRPr="00281428">
        <w:rPr>
          <w:b/>
          <w:szCs w:val="20"/>
          <w:u w:val="single"/>
        </w:rPr>
        <w:t>D</w:t>
      </w:r>
      <w:r w:rsidRPr="00281428">
        <w:rPr>
          <w:b/>
          <w:szCs w:val="20"/>
          <w:u w:val="single"/>
        </w:rPr>
        <w:t xml:space="preserve">etermine an average tare weight </w:t>
      </w:r>
      <w:r w:rsidR="00023D2E" w:rsidRPr="00281428">
        <w:rPr>
          <w:b/>
          <w:szCs w:val="20"/>
          <w:u w:val="single"/>
        </w:rPr>
        <w:t xml:space="preserve">according to </w:t>
      </w:r>
      <w:r w:rsidRPr="00281428">
        <w:rPr>
          <w:b/>
          <w:szCs w:val="20"/>
          <w:u w:val="single"/>
        </w:rPr>
        <w:t xml:space="preserve">Section 2.3.5. “Procedures for Determining Tare </w:t>
      </w:r>
      <w:r w:rsidR="00023D2E" w:rsidRPr="00281428">
        <w:rPr>
          <w:b/>
          <w:szCs w:val="20"/>
          <w:u w:val="single"/>
        </w:rPr>
        <w:t>and</w:t>
      </w:r>
      <w:r w:rsidRPr="00281428">
        <w:rPr>
          <w:b/>
          <w:szCs w:val="20"/>
          <w:u w:val="single"/>
        </w:rPr>
        <w:t xml:space="preserve"> Average Tare Weight</w:t>
      </w:r>
      <w:r w:rsidR="00023D2E" w:rsidRPr="00281428">
        <w:rPr>
          <w:b/>
          <w:szCs w:val="20"/>
          <w:u w:val="single"/>
        </w:rPr>
        <w:t>.”</w:t>
      </w:r>
      <w:r w:rsidRPr="00281428">
        <w:rPr>
          <w:b/>
          <w:szCs w:val="20"/>
          <w:u w:val="single"/>
        </w:rPr>
        <w:t xml:space="preserve"> </w:t>
      </w:r>
      <w:r w:rsidR="00023D2E" w:rsidRPr="00281428">
        <w:rPr>
          <w:b/>
          <w:szCs w:val="20"/>
          <w:u w:val="single"/>
        </w:rPr>
        <w:t xml:space="preserve">  Follow </w:t>
      </w:r>
      <w:r w:rsidRPr="00281428">
        <w:rPr>
          <w:b/>
          <w:szCs w:val="20"/>
          <w:u w:val="single"/>
        </w:rPr>
        <w:t>Section 2.3.6. “Determine Nominal Gross Weight and Package Errors” to determine package errors.</w:t>
      </w:r>
    </w:p>
    <w:p w14:paraId="1C487378" w14:textId="07A69C55" w:rsidR="00023D2E" w:rsidRPr="00281428" w:rsidRDefault="000A6363" w:rsidP="00A96162">
      <w:pPr>
        <w:ind w:left="1080" w:hanging="360"/>
        <w:rPr>
          <w:b/>
          <w:szCs w:val="20"/>
          <w:u w:val="single"/>
        </w:rPr>
      </w:pPr>
      <w:r w:rsidRPr="00281428">
        <w:rPr>
          <w:b/>
          <w:szCs w:val="20"/>
          <w:u w:val="single"/>
        </w:rPr>
        <w:t>3.</w:t>
      </w:r>
      <w:r w:rsidRPr="00281428">
        <w:rPr>
          <w:b/>
          <w:szCs w:val="20"/>
        </w:rPr>
        <w:tab/>
      </w:r>
      <w:r w:rsidR="00023D2E" w:rsidRPr="00281428">
        <w:rPr>
          <w:b/>
          <w:szCs w:val="20"/>
          <w:u w:val="single"/>
        </w:rPr>
        <w:t xml:space="preserve">Determine the </w:t>
      </w:r>
      <w:r w:rsidRPr="00281428">
        <w:rPr>
          <w:b/>
          <w:szCs w:val="20"/>
          <w:u w:val="single"/>
        </w:rPr>
        <w:t>net quantity of each individual inner package in the sample</w:t>
      </w:r>
      <w:r w:rsidR="00023D2E" w:rsidRPr="00281428">
        <w:rPr>
          <w:b/>
          <w:szCs w:val="20"/>
          <w:u w:val="single"/>
        </w:rPr>
        <w:t>.</w:t>
      </w:r>
    </w:p>
    <w:p w14:paraId="7E65BB83" w14:textId="61C8FCB7" w:rsidR="000A6363" w:rsidRPr="00281428" w:rsidRDefault="000A6363" w:rsidP="00DA1FCD">
      <w:pPr>
        <w:pStyle w:val="ListParagraph"/>
        <w:numPr>
          <w:ilvl w:val="0"/>
          <w:numId w:val="39"/>
        </w:numPr>
        <w:rPr>
          <w:b/>
          <w:szCs w:val="20"/>
          <w:u w:val="single"/>
        </w:rPr>
      </w:pPr>
      <w:r w:rsidRPr="00281428">
        <w:rPr>
          <w:b/>
          <w:szCs w:val="20"/>
          <w:u w:val="single"/>
        </w:rPr>
        <w:t xml:space="preserve">If a count declaration </w:t>
      </w:r>
      <w:r w:rsidR="00B27F62" w:rsidRPr="00281428">
        <w:rPr>
          <w:b/>
          <w:szCs w:val="20"/>
          <w:u w:val="single"/>
        </w:rPr>
        <w:t xml:space="preserve">is declared </w:t>
      </w:r>
      <w:r w:rsidRPr="00281428">
        <w:rPr>
          <w:b/>
          <w:szCs w:val="20"/>
          <w:u w:val="single"/>
        </w:rPr>
        <w:t>on the multiunit packages</w:t>
      </w:r>
      <w:r w:rsidR="003232B5" w:rsidRPr="00281428">
        <w:rPr>
          <w:b/>
          <w:szCs w:val="20"/>
          <w:u w:val="single"/>
        </w:rPr>
        <w:t>,</w:t>
      </w:r>
      <w:r w:rsidRPr="00281428">
        <w:rPr>
          <w:b/>
          <w:szCs w:val="20"/>
          <w:u w:val="single"/>
        </w:rPr>
        <w:t xml:space="preserve"> </w:t>
      </w:r>
      <w:r w:rsidR="00B27F62" w:rsidRPr="00281428">
        <w:rPr>
          <w:b/>
          <w:szCs w:val="20"/>
          <w:u w:val="single"/>
        </w:rPr>
        <w:t xml:space="preserve">verify using </w:t>
      </w:r>
      <w:r w:rsidRPr="00281428">
        <w:rPr>
          <w:b/>
          <w:szCs w:val="20"/>
          <w:u w:val="single"/>
        </w:rPr>
        <w:t xml:space="preserve">Section 4.2. “Packages Labeled by Count” and </w:t>
      </w:r>
      <w:r w:rsidR="00B27F62" w:rsidRPr="00281428">
        <w:rPr>
          <w:b/>
          <w:szCs w:val="20"/>
          <w:u w:val="single"/>
        </w:rPr>
        <w:t xml:space="preserve">apply </w:t>
      </w:r>
      <w:r w:rsidRPr="00281428">
        <w:rPr>
          <w:b/>
          <w:szCs w:val="20"/>
          <w:u w:val="single"/>
        </w:rPr>
        <w:t xml:space="preserve">the appropriate MAV </w:t>
      </w:r>
      <w:r w:rsidR="00B27F62" w:rsidRPr="00281428">
        <w:rPr>
          <w:b/>
          <w:szCs w:val="20"/>
          <w:u w:val="single"/>
        </w:rPr>
        <w:t xml:space="preserve">using Appendix A. </w:t>
      </w:r>
      <w:r w:rsidRPr="00281428">
        <w:rPr>
          <w:b/>
          <w:szCs w:val="20"/>
          <w:u w:val="single"/>
        </w:rPr>
        <w:t>Table 2-</w:t>
      </w:r>
      <w:r w:rsidR="00B27F62" w:rsidRPr="00281428">
        <w:rPr>
          <w:b/>
          <w:szCs w:val="20"/>
          <w:u w:val="single"/>
        </w:rPr>
        <w:t> </w:t>
      </w:r>
      <w:r w:rsidRPr="00281428">
        <w:rPr>
          <w:b/>
          <w:szCs w:val="20"/>
          <w:u w:val="single"/>
        </w:rPr>
        <w:t>7. MAV for Packages Labeled by Count applied.</w:t>
      </w:r>
    </w:p>
    <w:p w14:paraId="483ECC8E" w14:textId="31974943" w:rsidR="00B27F62" w:rsidRPr="00281428" w:rsidRDefault="000A6363" w:rsidP="00A96162">
      <w:pPr>
        <w:ind w:left="1080" w:hanging="360"/>
        <w:rPr>
          <w:b/>
          <w:szCs w:val="20"/>
          <w:u w:val="single"/>
        </w:rPr>
      </w:pPr>
      <w:r w:rsidRPr="00281428">
        <w:rPr>
          <w:b/>
          <w:szCs w:val="20"/>
          <w:u w:val="single"/>
        </w:rPr>
        <w:t>4.</w:t>
      </w:r>
      <w:r w:rsidRPr="00281428">
        <w:rPr>
          <w:b/>
          <w:szCs w:val="20"/>
        </w:rPr>
        <w:tab/>
      </w:r>
      <w:r w:rsidRPr="00281428">
        <w:rPr>
          <w:b/>
          <w:szCs w:val="20"/>
          <w:u w:val="single"/>
        </w:rPr>
        <w:t xml:space="preserve">If minus package errors are found in the sample, the value of the MAV to be applied is determined by </w:t>
      </w:r>
      <w:r w:rsidR="00CE3008" w:rsidRPr="00281428">
        <w:rPr>
          <w:b/>
          <w:szCs w:val="20"/>
          <w:u w:val="single"/>
        </w:rPr>
        <w:t xml:space="preserve">matching the labeled net quantity </w:t>
      </w:r>
      <w:r w:rsidRPr="00281428">
        <w:rPr>
          <w:b/>
          <w:szCs w:val="20"/>
          <w:u w:val="single"/>
        </w:rPr>
        <w:t xml:space="preserve">for the individual inner packages </w:t>
      </w:r>
      <w:r w:rsidR="000E4239" w:rsidRPr="00281428">
        <w:rPr>
          <w:b/>
          <w:szCs w:val="20"/>
          <w:u w:val="single"/>
        </w:rPr>
        <w:t xml:space="preserve">to the applicable </w:t>
      </w:r>
      <w:r w:rsidR="00CE3008" w:rsidRPr="00281428">
        <w:rPr>
          <w:b/>
          <w:szCs w:val="20"/>
          <w:u w:val="single"/>
        </w:rPr>
        <w:t xml:space="preserve">quantity range </w:t>
      </w:r>
      <w:r w:rsidR="000E4239" w:rsidRPr="00281428">
        <w:rPr>
          <w:b/>
          <w:szCs w:val="20"/>
          <w:u w:val="single"/>
        </w:rPr>
        <w:t xml:space="preserve">in the </w:t>
      </w:r>
      <w:r w:rsidR="00CE3008" w:rsidRPr="00281428">
        <w:rPr>
          <w:b/>
          <w:szCs w:val="20"/>
          <w:u w:val="single"/>
        </w:rPr>
        <w:t xml:space="preserve">appropriate </w:t>
      </w:r>
      <w:r w:rsidR="000E4239" w:rsidRPr="00281428">
        <w:rPr>
          <w:b/>
          <w:szCs w:val="20"/>
          <w:u w:val="single"/>
        </w:rPr>
        <w:t xml:space="preserve">MAV table using </w:t>
      </w:r>
      <w:r w:rsidRPr="00281428">
        <w:rPr>
          <w:b/>
          <w:szCs w:val="20"/>
          <w:u w:val="single"/>
        </w:rPr>
        <w:t xml:space="preserve">Appendix A “Tables”. </w:t>
      </w:r>
    </w:p>
    <w:p w14:paraId="1FD79750" w14:textId="553BCEA5" w:rsidR="000A6363" w:rsidRPr="00281428" w:rsidRDefault="00B27F62" w:rsidP="00A96162">
      <w:pPr>
        <w:ind w:left="1080"/>
        <w:rPr>
          <w:b/>
          <w:szCs w:val="20"/>
          <w:u w:val="single"/>
        </w:rPr>
      </w:pPr>
      <w:r w:rsidRPr="00281428">
        <w:rPr>
          <w:b/>
          <w:szCs w:val="20"/>
          <w:u w:val="single"/>
        </w:rPr>
        <w:lastRenderedPageBreak/>
        <w:t>Compare the</w:t>
      </w:r>
      <w:r w:rsidR="000A6363" w:rsidRPr="00281428">
        <w:rPr>
          <w:b/>
          <w:szCs w:val="20"/>
          <w:u w:val="single"/>
        </w:rPr>
        <w:t xml:space="preserve"> MAV for the labeled quantity to </w:t>
      </w:r>
      <w:r w:rsidR="00D04A41" w:rsidRPr="00281428">
        <w:rPr>
          <w:b/>
          <w:szCs w:val="20"/>
          <w:u w:val="single"/>
        </w:rPr>
        <w:t xml:space="preserve">each </w:t>
      </w:r>
      <w:r w:rsidR="000A6363" w:rsidRPr="00281428">
        <w:rPr>
          <w:b/>
          <w:szCs w:val="20"/>
          <w:u w:val="single"/>
        </w:rPr>
        <w:t xml:space="preserve">minus package error in the individual inner packages to determine if any are unreasonable </w:t>
      </w:r>
      <w:r w:rsidRPr="00281428">
        <w:rPr>
          <w:b/>
          <w:szCs w:val="20"/>
          <w:u w:val="single"/>
        </w:rPr>
        <w:t>using</w:t>
      </w:r>
      <w:r w:rsidR="000A6363" w:rsidRPr="00281428">
        <w:rPr>
          <w:b/>
          <w:szCs w:val="20"/>
          <w:u w:val="single"/>
        </w:rPr>
        <w:t xml:space="preserve"> Section 2.3.7.1. “MAV Requirement”.  If the number of unreasonable errors exceeds the amount allowed for the sample size (</w:t>
      </w:r>
      <w:r w:rsidRPr="00281428">
        <w:rPr>
          <w:b/>
          <w:szCs w:val="20"/>
          <w:u w:val="single"/>
        </w:rPr>
        <w:t xml:space="preserve">see </w:t>
      </w:r>
      <w:r w:rsidR="000A6363" w:rsidRPr="00281428">
        <w:rPr>
          <w:b/>
          <w:szCs w:val="20"/>
          <w:u w:val="single"/>
        </w:rPr>
        <w:t>Appendix A.</w:t>
      </w:r>
      <w:r w:rsidRPr="00281428">
        <w:rPr>
          <w:b/>
          <w:szCs w:val="20"/>
          <w:u w:val="single"/>
        </w:rPr>
        <w:t xml:space="preserve"> Tables 2-1.</w:t>
      </w:r>
      <w:r w:rsidR="000A6363" w:rsidRPr="00281428">
        <w:rPr>
          <w:b/>
          <w:szCs w:val="20"/>
          <w:u w:val="single"/>
        </w:rPr>
        <w:t xml:space="preserve"> </w:t>
      </w:r>
      <w:r w:rsidRPr="00281428">
        <w:rPr>
          <w:b/>
          <w:szCs w:val="20"/>
          <w:u w:val="single"/>
        </w:rPr>
        <w:t xml:space="preserve">“Sampling Plans for Category A” or Table 2-2. “Sampling Plans for Category B.” Column </w:t>
      </w:r>
      <w:r w:rsidR="000A6363" w:rsidRPr="00281428">
        <w:rPr>
          <w:b/>
          <w:szCs w:val="20"/>
          <w:u w:val="single"/>
        </w:rPr>
        <w:t>4)</w:t>
      </w:r>
      <w:r w:rsidR="003232B5" w:rsidRPr="00281428">
        <w:rPr>
          <w:b/>
          <w:szCs w:val="20"/>
          <w:u w:val="single"/>
        </w:rPr>
        <w:t>,</w:t>
      </w:r>
      <w:r w:rsidR="000A6363" w:rsidRPr="00281428">
        <w:rPr>
          <w:b/>
          <w:szCs w:val="20"/>
          <w:u w:val="single"/>
        </w:rPr>
        <w:t xml:space="preserve"> the sample fails.  If the sample passes</w:t>
      </w:r>
      <w:r w:rsidR="003232B5" w:rsidRPr="00281428">
        <w:rPr>
          <w:b/>
          <w:szCs w:val="20"/>
          <w:u w:val="single"/>
        </w:rPr>
        <w:t>,</w:t>
      </w:r>
      <w:r w:rsidR="000A6363" w:rsidRPr="00281428">
        <w:rPr>
          <w:b/>
          <w:szCs w:val="20"/>
          <w:u w:val="single"/>
        </w:rPr>
        <w:t xml:space="preserve"> go to Step 5.</w:t>
      </w:r>
    </w:p>
    <w:p w14:paraId="2CD4A251" w14:textId="4857EF4B" w:rsidR="000A6363" w:rsidRPr="00281428" w:rsidRDefault="000A6363" w:rsidP="00792552">
      <w:pPr>
        <w:ind w:left="1080" w:hanging="360"/>
        <w:rPr>
          <w:b/>
          <w:szCs w:val="20"/>
          <w:u w:val="single"/>
        </w:rPr>
      </w:pPr>
      <w:r w:rsidRPr="00281428">
        <w:rPr>
          <w:b/>
          <w:szCs w:val="20"/>
          <w:u w:val="single"/>
        </w:rPr>
        <w:t>5.</w:t>
      </w:r>
      <w:r w:rsidRPr="00281428">
        <w:rPr>
          <w:b/>
          <w:szCs w:val="20"/>
        </w:rPr>
        <w:tab/>
      </w:r>
      <w:r w:rsidRPr="00281428">
        <w:rPr>
          <w:b/>
          <w:szCs w:val="20"/>
          <w:u w:val="single"/>
        </w:rPr>
        <w:t xml:space="preserve">Apply Section 2.3.7.2. “Average Requirement.”  </w:t>
      </w:r>
      <w:r w:rsidR="00B27F62" w:rsidRPr="00281428">
        <w:rPr>
          <w:b/>
          <w:szCs w:val="20"/>
          <w:u w:val="single"/>
        </w:rPr>
        <w:t>Follow the procedures in</w:t>
      </w:r>
      <w:r w:rsidRPr="00281428">
        <w:rPr>
          <w:b/>
          <w:szCs w:val="20"/>
          <w:u w:val="single"/>
        </w:rPr>
        <w:t xml:space="preserve"> Section 2.3.7. “Evaluation for Compliance.”</w:t>
      </w:r>
    </w:p>
    <w:p w14:paraId="7463D77D" w14:textId="77777777" w:rsidR="000A6363" w:rsidRPr="00281428" w:rsidRDefault="000A6363" w:rsidP="00DF1D51">
      <w:pPr>
        <w:ind w:left="547" w:hanging="547"/>
        <w:rPr>
          <w:b/>
          <w:szCs w:val="20"/>
          <w:u w:val="single"/>
        </w:rPr>
      </w:pPr>
      <w:bookmarkStart w:id="57" w:name="_Hlk63066861"/>
      <w:r w:rsidRPr="00281428">
        <w:rPr>
          <w:b/>
          <w:szCs w:val="20"/>
          <w:u w:val="single"/>
        </w:rPr>
        <w:t>5.3.</w:t>
      </w:r>
      <w:r w:rsidRPr="00281428">
        <w:rPr>
          <w:b/>
          <w:szCs w:val="20"/>
        </w:rPr>
        <w:tab/>
      </w:r>
      <w:r w:rsidRPr="00281428">
        <w:rPr>
          <w:b/>
          <w:szCs w:val="20"/>
          <w:u w:val="single"/>
        </w:rPr>
        <w:t>Total Quantity</w:t>
      </w:r>
    </w:p>
    <w:p w14:paraId="354EBCFD" w14:textId="750FE399" w:rsidR="000A6363" w:rsidRPr="00281428" w:rsidRDefault="000A6363" w:rsidP="00792552">
      <w:pPr>
        <w:rPr>
          <w:b/>
          <w:szCs w:val="24"/>
          <w:u w:val="single"/>
        </w:rPr>
      </w:pPr>
      <w:r w:rsidRPr="00281428">
        <w:rPr>
          <w:b/>
          <w:szCs w:val="24"/>
          <w:u w:val="single"/>
        </w:rPr>
        <w:t xml:space="preserve">Use this procedure to test multiunit packages </w:t>
      </w:r>
      <w:r w:rsidR="00D04A41" w:rsidRPr="00281428">
        <w:rPr>
          <w:b/>
          <w:szCs w:val="24"/>
          <w:u w:val="single"/>
        </w:rPr>
        <w:t>label</w:t>
      </w:r>
      <w:r w:rsidR="00846BB5" w:rsidRPr="00281428">
        <w:rPr>
          <w:b/>
          <w:szCs w:val="24"/>
          <w:u w:val="single"/>
        </w:rPr>
        <w:t>e</w:t>
      </w:r>
      <w:r w:rsidR="00D04A41" w:rsidRPr="00281428">
        <w:rPr>
          <w:b/>
          <w:szCs w:val="24"/>
          <w:u w:val="single"/>
        </w:rPr>
        <w:t xml:space="preserve">d </w:t>
      </w:r>
      <w:r w:rsidRPr="00281428">
        <w:rPr>
          <w:b/>
          <w:szCs w:val="24"/>
          <w:u w:val="single"/>
        </w:rPr>
        <w:t xml:space="preserve">with a </w:t>
      </w:r>
      <w:r w:rsidR="006B00C9" w:rsidRPr="00281428">
        <w:rPr>
          <w:b/>
          <w:szCs w:val="24"/>
          <w:u w:val="single"/>
        </w:rPr>
        <w:t xml:space="preserve">total </w:t>
      </w:r>
      <w:r w:rsidRPr="00281428">
        <w:rPr>
          <w:b/>
          <w:szCs w:val="24"/>
          <w:u w:val="single"/>
        </w:rPr>
        <w:t xml:space="preserve">count and/or total net quantity declaration.  This procedure can be used to verify the total net quantity declared on open or closed multiunit packages or multiunit packages with transparent or opaque packaging. </w:t>
      </w:r>
      <w:r w:rsidR="00D52665" w:rsidRPr="00281428">
        <w:rPr>
          <w:b/>
          <w:szCs w:val="24"/>
          <w:u w:val="single"/>
        </w:rPr>
        <w:t xml:space="preserve"> </w:t>
      </w:r>
      <w:r w:rsidRPr="00281428">
        <w:rPr>
          <w:b/>
          <w:szCs w:val="24"/>
          <w:u w:val="single"/>
        </w:rPr>
        <w:t xml:space="preserve">If the quantities of the individual inner packages vary (which is allowed in Variety Packages) or, if the quantity of the individual inner packages is not declared, see Section 5.4. </w:t>
      </w:r>
      <w:r w:rsidR="00D52665" w:rsidRPr="00281428">
        <w:rPr>
          <w:b/>
          <w:szCs w:val="24"/>
          <w:u w:val="single"/>
        </w:rPr>
        <w:t>“</w:t>
      </w:r>
      <w:r w:rsidRPr="00281428">
        <w:rPr>
          <w:b/>
          <w:szCs w:val="24"/>
          <w:u w:val="single"/>
        </w:rPr>
        <w:t>Exceptions</w:t>
      </w:r>
      <w:r w:rsidR="00D52665" w:rsidRPr="00281428">
        <w:rPr>
          <w:b/>
          <w:szCs w:val="24"/>
          <w:u w:val="single"/>
        </w:rPr>
        <w:t>”</w:t>
      </w:r>
      <w:r w:rsidRPr="00281428">
        <w:rPr>
          <w:b/>
          <w:szCs w:val="24"/>
          <w:u w:val="single"/>
        </w:rPr>
        <w:t>.</w:t>
      </w:r>
    </w:p>
    <w:p w14:paraId="7D9B5040" w14:textId="286301C1" w:rsidR="00F6059C" w:rsidRPr="00281428" w:rsidRDefault="00F6059C" w:rsidP="00DF1D51">
      <w:pPr>
        <w:rPr>
          <w:b/>
          <w:szCs w:val="24"/>
          <w:u w:val="single"/>
        </w:rPr>
      </w:pPr>
      <w:r w:rsidRPr="00281428">
        <w:rPr>
          <w:b/>
          <w:bCs/>
          <w:szCs w:val="24"/>
          <w:u w:val="single"/>
        </w:rPr>
        <w:t>Before determining the MAV and proceeding with tests of the quantity of contents in any multiunit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w:t>
      </w:r>
    </w:p>
    <w:bookmarkEnd w:id="57"/>
    <w:p w14:paraId="28B50303" w14:textId="3C048AB8" w:rsidR="000A6363" w:rsidRPr="00281428" w:rsidRDefault="000C3052" w:rsidP="00DF1D51">
      <w:pPr>
        <w:ind w:left="1080" w:hanging="720"/>
        <w:rPr>
          <w:b/>
          <w:szCs w:val="24"/>
          <w:u w:val="single"/>
        </w:rPr>
      </w:pPr>
      <w:r w:rsidRPr="00281428">
        <w:rPr>
          <w:b/>
          <w:szCs w:val="24"/>
          <w:u w:val="single"/>
        </w:rPr>
        <w:t>5.3.1.</w:t>
      </w:r>
      <w:r w:rsidRPr="00281428">
        <w:rPr>
          <w:b/>
          <w:szCs w:val="24"/>
        </w:rPr>
        <w:tab/>
      </w:r>
      <w:r w:rsidR="000A6363" w:rsidRPr="00281428">
        <w:rPr>
          <w:b/>
          <w:szCs w:val="24"/>
          <w:u w:val="single"/>
        </w:rPr>
        <w:t>Test Procedure</w:t>
      </w:r>
      <w:r w:rsidR="00D52665" w:rsidRPr="00281428">
        <w:rPr>
          <w:b/>
          <w:szCs w:val="24"/>
          <w:u w:val="single"/>
        </w:rPr>
        <w:t xml:space="preserve"> for Multiunit Packages</w:t>
      </w:r>
    </w:p>
    <w:p w14:paraId="43416068" w14:textId="0CC4D845" w:rsidR="000A6363" w:rsidRPr="00281428" w:rsidRDefault="000A6363" w:rsidP="00792552">
      <w:pPr>
        <w:numPr>
          <w:ilvl w:val="0"/>
          <w:numId w:val="24"/>
        </w:numPr>
        <w:spacing w:after="160"/>
        <w:rPr>
          <w:b/>
          <w:szCs w:val="24"/>
          <w:u w:val="single"/>
        </w:rPr>
      </w:pPr>
      <w:r w:rsidRPr="00281428">
        <w:rPr>
          <w:b/>
          <w:szCs w:val="24"/>
          <w:u w:val="single"/>
        </w:rPr>
        <w:t>Follow Section 2.3.1. “Define the Inspection Lot”</w:t>
      </w:r>
      <w:r w:rsidR="00D52665" w:rsidRPr="00281428">
        <w:rPr>
          <w:b/>
          <w:szCs w:val="24"/>
          <w:u w:val="single"/>
        </w:rPr>
        <w:t xml:space="preserve"> to define the inspection lot (</w:t>
      </w:r>
      <w:r w:rsidRPr="00281428">
        <w:rPr>
          <w:b/>
          <w:szCs w:val="24"/>
          <w:u w:val="single"/>
        </w:rPr>
        <w:t>number of multiunit packages</w:t>
      </w:r>
      <w:r w:rsidR="00D52665" w:rsidRPr="00281428">
        <w:rPr>
          <w:b/>
          <w:szCs w:val="24"/>
          <w:u w:val="single"/>
        </w:rPr>
        <w:t>)</w:t>
      </w:r>
      <w:r w:rsidRPr="00281428">
        <w:rPr>
          <w:b/>
          <w:szCs w:val="24"/>
          <w:u w:val="single"/>
        </w:rPr>
        <w:t xml:space="preserve">.  Use </w:t>
      </w:r>
      <w:r w:rsidR="00D52665" w:rsidRPr="00281428">
        <w:rPr>
          <w:b/>
          <w:szCs w:val="24"/>
          <w:u w:val="single"/>
        </w:rPr>
        <w:t>the inspection lot size and select a</w:t>
      </w:r>
      <w:r w:rsidRPr="00281428">
        <w:rPr>
          <w:b/>
          <w:szCs w:val="24"/>
          <w:u w:val="single"/>
        </w:rPr>
        <w:t xml:space="preserve"> </w:t>
      </w:r>
      <w:r w:rsidR="00D52665" w:rsidRPr="00281428">
        <w:rPr>
          <w:b/>
          <w:szCs w:val="24"/>
          <w:u w:val="single"/>
        </w:rPr>
        <w:t>“</w:t>
      </w:r>
      <w:r w:rsidRPr="00281428">
        <w:rPr>
          <w:b/>
          <w:szCs w:val="24"/>
          <w:u w:val="single"/>
        </w:rPr>
        <w:t>Category A</w:t>
      </w:r>
      <w:r w:rsidR="00D52665" w:rsidRPr="00281428">
        <w:rPr>
          <w:b/>
          <w:szCs w:val="24"/>
          <w:u w:val="single"/>
        </w:rPr>
        <w:t>”</w:t>
      </w:r>
      <w:r w:rsidRPr="00281428">
        <w:rPr>
          <w:b/>
          <w:szCs w:val="24"/>
          <w:u w:val="single"/>
        </w:rPr>
        <w:t xml:space="preserve"> or </w:t>
      </w:r>
      <w:r w:rsidR="00D52665" w:rsidRPr="00281428">
        <w:rPr>
          <w:b/>
          <w:szCs w:val="24"/>
          <w:u w:val="single"/>
        </w:rPr>
        <w:t>“</w:t>
      </w:r>
      <w:r w:rsidRPr="00281428">
        <w:rPr>
          <w:b/>
          <w:szCs w:val="24"/>
          <w:u w:val="single"/>
        </w:rPr>
        <w:t>Category B</w:t>
      </w:r>
      <w:r w:rsidR="00D52665" w:rsidRPr="00281428">
        <w:rPr>
          <w:b/>
          <w:szCs w:val="24"/>
          <w:u w:val="single"/>
        </w:rPr>
        <w:t>”</w:t>
      </w:r>
      <w:r w:rsidRPr="00281428">
        <w:rPr>
          <w:b/>
          <w:szCs w:val="24"/>
          <w:u w:val="single"/>
        </w:rPr>
        <w:t xml:space="preserve"> sampl</w:t>
      </w:r>
      <w:r w:rsidR="00D52665" w:rsidRPr="00281428">
        <w:rPr>
          <w:b/>
          <w:szCs w:val="24"/>
          <w:u w:val="single"/>
        </w:rPr>
        <w:t>ing</w:t>
      </w:r>
      <w:r w:rsidRPr="00281428">
        <w:rPr>
          <w:b/>
          <w:szCs w:val="24"/>
          <w:u w:val="single"/>
        </w:rPr>
        <w:t xml:space="preserve"> </w:t>
      </w:r>
      <w:r w:rsidR="00D52665" w:rsidRPr="00281428">
        <w:rPr>
          <w:b/>
          <w:szCs w:val="24"/>
          <w:u w:val="single"/>
        </w:rPr>
        <w:t xml:space="preserve">plan (see Appendix A.  “Tables”) in the inspection plan and select a random sample. </w:t>
      </w:r>
      <w:r w:rsidRPr="00281428">
        <w:rPr>
          <w:b/>
          <w:szCs w:val="24"/>
          <w:u w:val="single"/>
        </w:rPr>
        <w:t>(</w:t>
      </w:r>
      <w:r w:rsidR="00D52665" w:rsidRPr="00281428">
        <w:rPr>
          <w:b/>
          <w:szCs w:val="24"/>
          <w:u w:val="single"/>
        </w:rPr>
        <w:t xml:space="preserve">see </w:t>
      </w:r>
      <w:r w:rsidRPr="00281428">
        <w:rPr>
          <w:b/>
          <w:szCs w:val="24"/>
          <w:u w:val="single"/>
        </w:rPr>
        <w:t>Section 2.3.2. “Select Sampling Plans</w:t>
      </w:r>
      <w:r w:rsidR="00D52665" w:rsidRPr="00281428">
        <w:rPr>
          <w:b/>
          <w:szCs w:val="24"/>
          <w:u w:val="single"/>
        </w:rPr>
        <w:t xml:space="preserve">” and </w:t>
      </w:r>
      <w:r w:rsidRPr="00281428">
        <w:rPr>
          <w:b/>
          <w:szCs w:val="24"/>
          <w:u w:val="single"/>
        </w:rPr>
        <w:t>Section 2.3.4. “Random Sample Selection”).</w:t>
      </w:r>
    </w:p>
    <w:p w14:paraId="3E1C5936" w14:textId="6B9CECEA" w:rsidR="000A6363" w:rsidRPr="00281428" w:rsidRDefault="00D04A41" w:rsidP="00DF1D51">
      <w:pPr>
        <w:numPr>
          <w:ilvl w:val="0"/>
          <w:numId w:val="24"/>
        </w:numPr>
        <w:spacing w:before="100" w:beforeAutospacing="1" w:after="160"/>
        <w:rPr>
          <w:b/>
          <w:szCs w:val="24"/>
          <w:u w:val="single"/>
        </w:rPr>
      </w:pPr>
      <w:r w:rsidRPr="00281428">
        <w:rPr>
          <w:b/>
          <w:szCs w:val="24"/>
          <w:u w:val="single"/>
        </w:rPr>
        <w:t>For packages labeled by weight, d</w:t>
      </w:r>
      <w:r w:rsidR="000A6363" w:rsidRPr="00281428">
        <w:rPr>
          <w:b/>
          <w:szCs w:val="24"/>
          <w:u w:val="single"/>
        </w:rPr>
        <w:t xml:space="preserve">etermine the tare </w:t>
      </w:r>
      <w:r w:rsidRPr="00281428">
        <w:rPr>
          <w:b/>
          <w:szCs w:val="24"/>
          <w:u w:val="single"/>
        </w:rPr>
        <w:t xml:space="preserve">weight </w:t>
      </w:r>
      <w:r w:rsidR="00D52665" w:rsidRPr="00281428">
        <w:rPr>
          <w:b/>
          <w:szCs w:val="24"/>
          <w:u w:val="single"/>
        </w:rPr>
        <w:t xml:space="preserve">and nominal gross weight.  Follow </w:t>
      </w:r>
      <w:r w:rsidR="000A6363" w:rsidRPr="00281428">
        <w:rPr>
          <w:b/>
          <w:szCs w:val="24"/>
          <w:u w:val="single"/>
        </w:rPr>
        <w:t>Section 2.3.5. “Procedures for Determining Tare</w:t>
      </w:r>
      <w:r w:rsidR="00D52665" w:rsidRPr="00281428">
        <w:rPr>
          <w:b/>
          <w:szCs w:val="24"/>
          <w:u w:val="single"/>
        </w:rPr>
        <w:t xml:space="preserve">” through Section </w:t>
      </w:r>
      <w:r w:rsidR="000A6363" w:rsidRPr="00281428">
        <w:rPr>
          <w:b/>
          <w:szCs w:val="24"/>
          <w:u w:val="single"/>
        </w:rPr>
        <w:t xml:space="preserve">2.3.6. “Determine Nominal Gross Weight and Package Error” to determine </w:t>
      </w:r>
      <w:r w:rsidR="00CE3008" w:rsidRPr="00281428">
        <w:rPr>
          <w:b/>
          <w:szCs w:val="24"/>
          <w:u w:val="single"/>
        </w:rPr>
        <w:t xml:space="preserve">package </w:t>
      </w:r>
      <w:r w:rsidR="000A6363" w:rsidRPr="00281428">
        <w:rPr>
          <w:b/>
          <w:szCs w:val="24"/>
          <w:u w:val="single"/>
        </w:rPr>
        <w:t xml:space="preserve">errors in the quantity </w:t>
      </w:r>
      <w:r w:rsidR="00CE3008" w:rsidRPr="00281428">
        <w:rPr>
          <w:b/>
          <w:szCs w:val="24"/>
          <w:u w:val="single"/>
        </w:rPr>
        <w:t xml:space="preserve">of the individual inner packages as </w:t>
      </w:r>
      <w:r w:rsidR="006B00C9" w:rsidRPr="00281428">
        <w:rPr>
          <w:b/>
          <w:szCs w:val="24"/>
          <w:u w:val="single"/>
        </w:rPr>
        <w:t xml:space="preserve">compared to the total package quantity </w:t>
      </w:r>
      <w:r w:rsidR="000A6363" w:rsidRPr="00281428">
        <w:rPr>
          <w:b/>
          <w:szCs w:val="24"/>
          <w:u w:val="single"/>
        </w:rPr>
        <w:t>declaration.</w:t>
      </w:r>
    </w:p>
    <w:p w14:paraId="609747E1" w14:textId="77777777" w:rsidR="000A6363" w:rsidRPr="00281428" w:rsidRDefault="000A6363" w:rsidP="00DF1D51">
      <w:pPr>
        <w:numPr>
          <w:ilvl w:val="0"/>
          <w:numId w:val="24"/>
        </w:numPr>
        <w:spacing w:before="100" w:beforeAutospacing="1" w:after="160"/>
        <w:rPr>
          <w:b/>
          <w:szCs w:val="24"/>
          <w:u w:val="single"/>
        </w:rPr>
      </w:pPr>
      <w:r w:rsidRPr="00281428">
        <w:rPr>
          <w:b/>
          <w:szCs w:val="24"/>
          <w:u w:val="single"/>
        </w:rPr>
        <w:t xml:space="preserve">Determine the net quantity of each multiunit package and calculate the Total Quantity Package Error for each multiunit package.  </w:t>
      </w:r>
    </w:p>
    <w:p w14:paraId="26AD65B8" w14:textId="58FDCBCE" w:rsidR="000A6363" w:rsidRPr="00281428" w:rsidRDefault="000A6363" w:rsidP="00A96162">
      <w:pPr>
        <w:spacing w:before="100" w:beforeAutospacing="1"/>
        <w:ind w:left="1080"/>
        <w:rPr>
          <w:b/>
          <w:szCs w:val="24"/>
          <w:u w:val="single"/>
        </w:rPr>
      </w:pPr>
      <w:r w:rsidRPr="00281428">
        <w:rPr>
          <w:b/>
          <w:szCs w:val="24"/>
          <w:u w:val="single"/>
        </w:rPr>
        <w:t xml:space="preserve">The Total Quantity Package Error is the sum of the errors found in the individual inner packages. </w:t>
      </w:r>
    </w:p>
    <w:p w14:paraId="65241BA8" w14:textId="77777777" w:rsidR="000A6363" w:rsidRPr="00281428" w:rsidRDefault="000A6363" w:rsidP="000803DF">
      <w:pPr>
        <w:tabs>
          <w:tab w:val="left" w:pos="360"/>
          <w:tab w:val="left" w:pos="1080"/>
        </w:tabs>
        <w:spacing w:before="100" w:beforeAutospacing="1"/>
        <w:ind w:left="1080" w:hanging="360"/>
        <w:jc w:val="center"/>
        <w:rPr>
          <w:b/>
          <w:i/>
          <w:szCs w:val="24"/>
          <w:u w:val="single"/>
        </w:rPr>
      </w:pPr>
      <w:r w:rsidRPr="00281428">
        <w:rPr>
          <w:b/>
          <w:i/>
          <w:szCs w:val="24"/>
          <w:u w:val="single"/>
        </w:rPr>
        <w:t>Total Quantity Package Error = Sum of Individual Inner Package Errors</w:t>
      </w:r>
    </w:p>
    <w:p w14:paraId="3545F7BD" w14:textId="2AFCDE57" w:rsidR="000A6363" w:rsidRPr="00281428" w:rsidRDefault="001A36A7" w:rsidP="000803DF">
      <w:pPr>
        <w:tabs>
          <w:tab w:val="left" w:pos="360"/>
          <w:tab w:val="left" w:pos="1080"/>
        </w:tabs>
        <w:spacing w:before="100" w:beforeAutospacing="1"/>
        <w:ind w:left="1080" w:hanging="360"/>
        <w:rPr>
          <w:b/>
          <w:szCs w:val="24"/>
          <w:u w:val="single"/>
        </w:rPr>
      </w:pPr>
      <w:r w:rsidRPr="00281428">
        <w:rPr>
          <w:b/>
          <w:szCs w:val="24"/>
        </w:rPr>
        <w:tab/>
      </w:r>
      <w:r w:rsidR="000A6363" w:rsidRPr="00281428">
        <w:rPr>
          <w:b/>
          <w:szCs w:val="24"/>
          <w:u w:val="single"/>
        </w:rPr>
        <w:t xml:space="preserve">If </w:t>
      </w:r>
      <w:r w:rsidR="006B00C9" w:rsidRPr="00281428">
        <w:rPr>
          <w:b/>
          <w:szCs w:val="24"/>
          <w:u w:val="single"/>
        </w:rPr>
        <w:t>applicable</w:t>
      </w:r>
      <w:r w:rsidR="000A6363" w:rsidRPr="00281428">
        <w:rPr>
          <w:b/>
          <w:szCs w:val="24"/>
          <w:u w:val="single"/>
        </w:rPr>
        <w:t xml:space="preserve">, verify the count declaration of the individual inner packages.  </w:t>
      </w:r>
      <w:r w:rsidR="00D04A41" w:rsidRPr="00281428">
        <w:rPr>
          <w:b/>
          <w:szCs w:val="24"/>
          <w:u w:val="single"/>
        </w:rPr>
        <w:t xml:space="preserve">To determine </w:t>
      </w:r>
      <w:r w:rsidR="000A6363" w:rsidRPr="00281428">
        <w:rPr>
          <w:b/>
          <w:szCs w:val="24"/>
          <w:u w:val="single"/>
        </w:rPr>
        <w:t>the MAV for count</w:t>
      </w:r>
      <w:r w:rsidR="006B00C9" w:rsidRPr="00281428">
        <w:rPr>
          <w:b/>
          <w:szCs w:val="24"/>
          <w:u w:val="single"/>
        </w:rPr>
        <w:t>,</w:t>
      </w:r>
      <w:r w:rsidR="000A6363" w:rsidRPr="00281428">
        <w:rPr>
          <w:b/>
          <w:szCs w:val="24"/>
          <w:u w:val="single"/>
        </w:rPr>
        <w:t xml:space="preserve"> use Appendix A. Table 2-7. “MAV for Packages Labeled by Count</w:t>
      </w:r>
      <w:r w:rsidR="00D04A41" w:rsidRPr="00281428">
        <w:rPr>
          <w:b/>
          <w:szCs w:val="24"/>
          <w:u w:val="single"/>
        </w:rPr>
        <w:t>.</w:t>
      </w:r>
      <w:r w:rsidR="000A6363" w:rsidRPr="00281428">
        <w:rPr>
          <w:b/>
          <w:szCs w:val="24"/>
          <w:u w:val="single"/>
        </w:rPr>
        <w:t xml:space="preserve">”  </w:t>
      </w:r>
    </w:p>
    <w:p w14:paraId="583DE33A" w14:textId="786B031F" w:rsidR="000A6363" w:rsidRPr="00281428" w:rsidRDefault="000A6363" w:rsidP="00DA1FCD">
      <w:pPr>
        <w:numPr>
          <w:ilvl w:val="0"/>
          <w:numId w:val="24"/>
        </w:numPr>
        <w:tabs>
          <w:tab w:val="left" w:pos="360"/>
          <w:tab w:val="left" w:pos="1080"/>
        </w:tabs>
        <w:spacing w:before="100" w:beforeAutospacing="1" w:after="160"/>
        <w:rPr>
          <w:b/>
          <w:szCs w:val="24"/>
          <w:u w:val="single"/>
        </w:rPr>
      </w:pPr>
      <w:r w:rsidRPr="00281428">
        <w:rPr>
          <w:b/>
          <w:szCs w:val="24"/>
          <w:u w:val="single"/>
        </w:rPr>
        <w:t xml:space="preserve">If minus </w:t>
      </w:r>
      <w:r w:rsidR="00BB4BDB" w:rsidRPr="00281428">
        <w:rPr>
          <w:b/>
          <w:szCs w:val="24"/>
          <w:u w:val="single"/>
        </w:rPr>
        <w:t xml:space="preserve">Total Quantity </w:t>
      </w:r>
      <w:r w:rsidRPr="00281428">
        <w:rPr>
          <w:b/>
          <w:szCs w:val="24"/>
          <w:u w:val="single"/>
        </w:rPr>
        <w:t>package errors are found in the sample, use the MAV for the individual inner package</w:t>
      </w:r>
      <w:r w:rsidR="009D72DC" w:rsidRPr="00281428">
        <w:rPr>
          <w:b/>
          <w:szCs w:val="24"/>
          <w:u w:val="single"/>
        </w:rPr>
        <w:t xml:space="preserve"> labeled</w:t>
      </w:r>
      <w:r w:rsidRPr="00281428">
        <w:rPr>
          <w:b/>
          <w:szCs w:val="24"/>
          <w:u w:val="single"/>
        </w:rPr>
        <w:t xml:space="preserve"> quantity. (</w:t>
      </w:r>
      <w:r w:rsidR="00D52665" w:rsidRPr="00281428">
        <w:rPr>
          <w:b/>
          <w:szCs w:val="24"/>
          <w:u w:val="single"/>
        </w:rPr>
        <w:t xml:space="preserve">see </w:t>
      </w:r>
      <w:r w:rsidRPr="00281428">
        <w:rPr>
          <w:b/>
          <w:szCs w:val="24"/>
          <w:u w:val="single"/>
        </w:rPr>
        <w:t xml:space="preserve">Section 1.2.4.1. “Total Quantity MAV for Multiunit and Variety Packages” and the appropriate MAVs in Appendix A “Tables”).  Calculate the </w:t>
      </w:r>
      <w:r w:rsidR="00BB4BDB" w:rsidRPr="00281428">
        <w:rPr>
          <w:b/>
          <w:szCs w:val="24"/>
          <w:u w:val="single"/>
        </w:rPr>
        <w:t xml:space="preserve">Total Quantity </w:t>
      </w:r>
      <w:r w:rsidRPr="00281428">
        <w:rPr>
          <w:b/>
          <w:szCs w:val="24"/>
          <w:u w:val="single"/>
        </w:rPr>
        <w:t xml:space="preserve">MAV to be applied to the total quantity of contents declaration as follows: </w:t>
      </w:r>
    </w:p>
    <w:p w14:paraId="5943128B" w14:textId="77777777" w:rsidR="000A6363" w:rsidRPr="00281428" w:rsidRDefault="001A36A7" w:rsidP="000803DF">
      <w:pPr>
        <w:ind w:left="1080" w:hanging="360"/>
        <w:rPr>
          <w:b/>
          <w:i/>
          <w:szCs w:val="20"/>
          <w:u w:val="single"/>
        </w:rPr>
      </w:pPr>
      <w:r w:rsidRPr="00281428">
        <w:rPr>
          <w:b/>
          <w:i/>
          <w:szCs w:val="20"/>
        </w:rPr>
        <w:tab/>
      </w:r>
      <w:r w:rsidR="000A6363" w:rsidRPr="00281428">
        <w:rPr>
          <w:b/>
          <w:i/>
          <w:szCs w:val="20"/>
          <w:u w:val="single"/>
        </w:rPr>
        <w:t>Total Quantity MAV = Number of Individual Inner Packages × MAV for Individual Inner Package Quantity</w:t>
      </w:r>
    </w:p>
    <w:p w14:paraId="7D2B3C9A" w14:textId="0C669D60" w:rsidR="000A6363" w:rsidRPr="00281428" w:rsidRDefault="00D52665" w:rsidP="00A96162">
      <w:pPr>
        <w:ind w:left="1080"/>
        <w:rPr>
          <w:b/>
          <w:szCs w:val="20"/>
          <w:u w:val="single"/>
        </w:rPr>
      </w:pPr>
      <w:r w:rsidRPr="00281428">
        <w:rPr>
          <w:b/>
          <w:szCs w:val="20"/>
          <w:u w:val="single"/>
        </w:rPr>
        <w:lastRenderedPageBreak/>
        <w:t xml:space="preserve">Note:  </w:t>
      </w:r>
      <w:r w:rsidR="000A6363" w:rsidRPr="00281428">
        <w:rPr>
          <w:b/>
          <w:szCs w:val="20"/>
          <w:u w:val="single"/>
        </w:rPr>
        <w:t xml:space="preserve">A Total Quantity MAV is not required when the MAV to be applied is based on a percent of a labeled quantity of a multiunit or variety package.  </w:t>
      </w:r>
    </w:p>
    <w:p w14:paraId="56FCA460" w14:textId="31C2C36D" w:rsidR="00D52665" w:rsidRPr="00281428" w:rsidRDefault="000A6363" w:rsidP="00DA1FCD">
      <w:pPr>
        <w:numPr>
          <w:ilvl w:val="0"/>
          <w:numId w:val="24"/>
        </w:numPr>
        <w:spacing w:after="160"/>
        <w:rPr>
          <w:b/>
          <w:szCs w:val="24"/>
          <w:u w:val="single"/>
        </w:rPr>
      </w:pPr>
      <w:r w:rsidRPr="00281428">
        <w:rPr>
          <w:b/>
          <w:szCs w:val="24"/>
          <w:u w:val="single"/>
        </w:rPr>
        <w:t xml:space="preserve">The Total Quantity MAV is compared to </w:t>
      </w:r>
      <w:r w:rsidR="009D72DC" w:rsidRPr="00281428">
        <w:rPr>
          <w:b/>
          <w:szCs w:val="24"/>
          <w:u w:val="single"/>
        </w:rPr>
        <w:t xml:space="preserve">each </w:t>
      </w:r>
      <w:r w:rsidRPr="00281428">
        <w:rPr>
          <w:b/>
          <w:szCs w:val="24"/>
          <w:u w:val="single"/>
        </w:rPr>
        <w:t xml:space="preserve">minus Total Quantity Package Error to determine if any errors </w:t>
      </w:r>
      <w:r w:rsidR="00FF06E6" w:rsidRPr="00281428">
        <w:rPr>
          <w:b/>
          <w:szCs w:val="24"/>
          <w:u w:val="single"/>
        </w:rPr>
        <w:t xml:space="preserve">are </w:t>
      </w:r>
      <w:r w:rsidRPr="00281428">
        <w:rPr>
          <w:b/>
          <w:szCs w:val="24"/>
          <w:u w:val="single"/>
        </w:rPr>
        <w:t xml:space="preserve">unreasonable (See Section 2.3.7.1. “MAV Requirement”). </w:t>
      </w:r>
    </w:p>
    <w:p w14:paraId="3EEB40C9" w14:textId="483033FB" w:rsidR="000A6363" w:rsidRPr="00281428" w:rsidRDefault="000A6363" w:rsidP="00DA1FCD">
      <w:pPr>
        <w:pStyle w:val="ListParagraph"/>
        <w:numPr>
          <w:ilvl w:val="0"/>
          <w:numId w:val="40"/>
        </w:numPr>
        <w:spacing w:after="160"/>
        <w:rPr>
          <w:b/>
          <w:szCs w:val="24"/>
          <w:u w:val="single"/>
        </w:rPr>
      </w:pPr>
      <w:r w:rsidRPr="00281428">
        <w:rPr>
          <w:b/>
          <w:szCs w:val="24"/>
          <w:u w:val="single"/>
        </w:rPr>
        <w:t xml:space="preserve"> If the number of unreasonable errors exceeds the </w:t>
      </w:r>
      <w:r w:rsidR="006B00C9" w:rsidRPr="00281428">
        <w:rPr>
          <w:b/>
          <w:szCs w:val="24"/>
          <w:u w:val="single"/>
        </w:rPr>
        <w:t>number</w:t>
      </w:r>
      <w:r w:rsidRPr="00281428">
        <w:rPr>
          <w:b/>
          <w:szCs w:val="24"/>
          <w:u w:val="single"/>
        </w:rPr>
        <w:t xml:space="preserve"> allowed for the sample size the sample fails. (See Section 2.3.1. “Define the Inspection Lot” and Tables 2-1 or 2-2, Column 4).  </w:t>
      </w:r>
    </w:p>
    <w:p w14:paraId="20B0126A" w14:textId="580646DC" w:rsidR="00BD64F2" w:rsidRPr="00281428" w:rsidRDefault="000A6363" w:rsidP="000803DF">
      <w:pPr>
        <w:spacing w:before="100" w:beforeAutospacing="1"/>
        <w:ind w:left="360"/>
        <w:jc w:val="left"/>
        <w:rPr>
          <w:b/>
          <w:szCs w:val="20"/>
          <w:u w:val="single"/>
        </w:rPr>
      </w:pPr>
      <w:r w:rsidRPr="00281428">
        <w:rPr>
          <w:b/>
          <w:szCs w:val="20"/>
          <w:u w:val="single"/>
        </w:rPr>
        <w:t>5.4.</w:t>
      </w:r>
      <w:r w:rsidR="001A36A7" w:rsidRPr="00281428">
        <w:rPr>
          <w:b/>
          <w:szCs w:val="20"/>
          <w:u w:val="single"/>
        </w:rPr>
        <w:t xml:space="preserve">  </w:t>
      </w:r>
      <w:r w:rsidR="00BD64F2" w:rsidRPr="00281428">
        <w:rPr>
          <w:b/>
          <w:szCs w:val="20"/>
          <w:u w:val="single"/>
        </w:rPr>
        <w:t>Exceptions for Multiunit Packages</w:t>
      </w:r>
    </w:p>
    <w:p w14:paraId="622124B3" w14:textId="228848E1" w:rsidR="000A6363" w:rsidRPr="00281428" w:rsidRDefault="00BD64F2" w:rsidP="00FF06E6">
      <w:pPr>
        <w:spacing w:before="100" w:beforeAutospacing="1"/>
        <w:ind w:left="1080" w:hanging="360"/>
        <w:jc w:val="left"/>
        <w:rPr>
          <w:b/>
          <w:szCs w:val="20"/>
          <w:u w:val="single"/>
        </w:rPr>
      </w:pPr>
      <w:r w:rsidRPr="00281428">
        <w:rPr>
          <w:b/>
          <w:szCs w:val="20"/>
          <w:u w:val="single"/>
        </w:rPr>
        <w:t>5.4.1</w:t>
      </w:r>
      <w:r w:rsidR="005246A2" w:rsidRPr="00281428">
        <w:rPr>
          <w:b/>
          <w:szCs w:val="20"/>
          <w:u w:val="single"/>
        </w:rPr>
        <w:t xml:space="preserve">.  </w:t>
      </w:r>
      <w:r w:rsidR="000A6363" w:rsidRPr="00281428">
        <w:rPr>
          <w:b/>
          <w:szCs w:val="20"/>
          <w:u w:val="single"/>
        </w:rPr>
        <w:t>Multiunit Packages with Only a Total Quantity Declaration</w:t>
      </w:r>
    </w:p>
    <w:p w14:paraId="2C89E462" w14:textId="58C33971" w:rsidR="000A6363" w:rsidRPr="00281428" w:rsidRDefault="000A6363" w:rsidP="00DF1D51">
      <w:pPr>
        <w:ind w:left="720"/>
        <w:rPr>
          <w:b/>
          <w:bCs/>
          <w:u w:val="single"/>
        </w:rPr>
      </w:pPr>
      <w:r w:rsidRPr="00281428">
        <w:rPr>
          <w:b/>
          <w:szCs w:val="20"/>
          <w:u w:val="single"/>
        </w:rPr>
        <w:t>NIST</w:t>
      </w:r>
      <w:r w:rsidR="00BD64F2" w:rsidRPr="00281428">
        <w:rPr>
          <w:b/>
          <w:szCs w:val="20"/>
          <w:u w:val="single"/>
        </w:rPr>
        <w:t xml:space="preserve"> </w:t>
      </w:r>
      <w:r w:rsidRPr="00281428">
        <w:rPr>
          <w:b/>
          <w:szCs w:val="20"/>
          <w:u w:val="single"/>
        </w:rPr>
        <w:t>H</w:t>
      </w:r>
      <w:r w:rsidR="00BD64F2" w:rsidRPr="00281428">
        <w:rPr>
          <w:b/>
          <w:szCs w:val="20"/>
          <w:u w:val="single"/>
        </w:rPr>
        <w:t>andbook</w:t>
      </w:r>
      <w:r w:rsidRPr="00281428">
        <w:rPr>
          <w:b/>
          <w:szCs w:val="20"/>
          <w:u w:val="single"/>
        </w:rPr>
        <w:t xml:space="preserve"> 130, Uniform Packaging and Labeling Regulation (UPLR), </w:t>
      </w:r>
      <w:r w:rsidRPr="00281428">
        <w:rPr>
          <w:b/>
          <w:bCs/>
          <w:u w:val="single"/>
        </w:rPr>
        <w:t xml:space="preserve">Section 10.4. </w:t>
      </w:r>
      <w:r w:rsidR="00BD64F2" w:rsidRPr="00281428">
        <w:rPr>
          <w:b/>
          <w:bCs/>
          <w:u w:val="single"/>
        </w:rPr>
        <w:t>“</w:t>
      </w:r>
      <w:r w:rsidRPr="00281428">
        <w:rPr>
          <w:b/>
          <w:bCs/>
          <w:u w:val="single"/>
        </w:rPr>
        <w:t>Multiunit Packages</w:t>
      </w:r>
      <w:r w:rsidR="00BD64F2" w:rsidRPr="00281428">
        <w:rPr>
          <w:b/>
          <w:bCs/>
          <w:u w:val="single"/>
        </w:rPr>
        <w:t>”</w:t>
      </w:r>
      <w:r w:rsidRPr="00281428">
        <w:rPr>
          <w:b/>
          <w:bCs/>
          <w:u w:val="single"/>
        </w:rPr>
        <w:t xml:space="preserve"> states </w:t>
      </w:r>
      <w:r w:rsidR="009D72DC" w:rsidRPr="00281428">
        <w:rPr>
          <w:b/>
          <w:bCs/>
          <w:u w:val="single"/>
        </w:rPr>
        <w:t xml:space="preserve">that </w:t>
      </w:r>
      <w:r w:rsidRPr="00281428">
        <w:rPr>
          <w:b/>
          <w:bCs/>
          <w:u w:val="single"/>
        </w:rPr>
        <w:t xml:space="preserve">unlabeled individual packages not intended for individual retail sale are only required to declare a total quantity declaration </w:t>
      </w:r>
      <w:r w:rsidR="00BD64F2" w:rsidRPr="00281428">
        <w:rPr>
          <w:b/>
          <w:bCs/>
          <w:u w:val="single"/>
        </w:rPr>
        <w:t xml:space="preserve">(see </w:t>
      </w:r>
      <w:r w:rsidRPr="00281428">
        <w:rPr>
          <w:b/>
          <w:bCs/>
          <w:u w:val="single"/>
        </w:rPr>
        <w:t xml:space="preserve">Figure 2.  Multiunit Package </w:t>
      </w:r>
      <w:r w:rsidR="00BD64F2" w:rsidRPr="00281428">
        <w:rPr>
          <w:b/>
          <w:bCs/>
          <w:u w:val="single"/>
        </w:rPr>
        <w:t>[</w:t>
      </w:r>
      <w:r w:rsidRPr="00281428">
        <w:rPr>
          <w:b/>
          <w:bCs/>
          <w:u w:val="single"/>
        </w:rPr>
        <w:t>three packages</w:t>
      </w:r>
      <w:r w:rsidR="00BD64F2" w:rsidRPr="00281428">
        <w:rPr>
          <w:b/>
          <w:bCs/>
          <w:u w:val="single"/>
        </w:rPr>
        <w:t xml:space="preserve">] </w:t>
      </w:r>
      <w:r w:rsidRPr="00281428">
        <w:rPr>
          <w:b/>
          <w:bCs/>
          <w:u w:val="single"/>
        </w:rPr>
        <w:t>with only a Total Quantity Declaration</w:t>
      </w:r>
      <w:r w:rsidR="00BD64F2" w:rsidRPr="00281428">
        <w:rPr>
          <w:b/>
          <w:bCs/>
          <w:u w:val="single"/>
        </w:rPr>
        <w:t xml:space="preserve">).  </w:t>
      </w:r>
      <w:r w:rsidR="006B00C9" w:rsidRPr="00281428">
        <w:rPr>
          <w:b/>
          <w:bCs/>
          <w:u w:val="single"/>
        </w:rPr>
        <w:t xml:space="preserve">While not required, </w:t>
      </w:r>
      <w:r w:rsidR="00BD64F2" w:rsidRPr="00281428">
        <w:rPr>
          <w:b/>
          <w:bCs/>
          <w:u w:val="single"/>
        </w:rPr>
        <w:t xml:space="preserve">UPLR, </w:t>
      </w:r>
      <w:r w:rsidRPr="00281428">
        <w:rPr>
          <w:b/>
          <w:bCs/>
          <w:u w:val="single"/>
        </w:rPr>
        <w:t xml:space="preserve">Section 10.4. </w:t>
      </w:r>
      <w:r w:rsidR="00BD64F2" w:rsidRPr="00281428">
        <w:rPr>
          <w:b/>
          <w:bCs/>
          <w:u w:val="single"/>
        </w:rPr>
        <w:t>“</w:t>
      </w:r>
      <w:r w:rsidRPr="00281428">
        <w:rPr>
          <w:b/>
          <w:bCs/>
          <w:u w:val="single"/>
        </w:rPr>
        <w:t>Multiunit Packages</w:t>
      </w:r>
      <w:r w:rsidR="00BD64F2" w:rsidRPr="00281428">
        <w:rPr>
          <w:b/>
          <w:bCs/>
          <w:u w:val="single"/>
        </w:rPr>
        <w:t>”</w:t>
      </w:r>
      <w:r w:rsidRPr="00281428">
        <w:rPr>
          <w:b/>
          <w:bCs/>
          <w:u w:val="single"/>
        </w:rPr>
        <w:t xml:space="preserve"> </w:t>
      </w:r>
      <w:r w:rsidR="00BD64F2" w:rsidRPr="00281428">
        <w:rPr>
          <w:b/>
          <w:bCs/>
          <w:u w:val="single"/>
        </w:rPr>
        <w:t xml:space="preserve">does allow for </w:t>
      </w:r>
      <w:r w:rsidRPr="00281428">
        <w:rPr>
          <w:b/>
          <w:bCs/>
          <w:u w:val="single"/>
        </w:rPr>
        <w:t xml:space="preserve">multiunit packages to include an optional statement </w:t>
      </w:r>
      <w:r w:rsidR="00BD64F2" w:rsidRPr="00281428">
        <w:rPr>
          <w:b/>
          <w:bCs/>
          <w:u w:val="single"/>
        </w:rPr>
        <w:t xml:space="preserve">for </w:t>
      </w:r>
      <w:r w:rsidRPr="00281428">
        <w:rPr>
          <w:b/>
          <w:bCs/>
          <w:u w:val="single"/>
        </w:rPr>
        <w:t>the count of the individual inner packages</w:t>
      </w:r>
      <w:r w:rsidR="006B00C9" w:rsidRPr="00281428">
        <w:rPr>
          <w:b/>
          <w:bCs/>
          <w:u w:val="single"/>
        </w:rPr>
        <w:t xml:space="preserve"> despite their not being fully labeled or intended for individual retail sale</w:t>
      </w:r>
      <w:r w:rsidRPr="00281428">
        <w:rPr>
          <w:b/>
          <w:bCs/>
          <w:u w:val="singl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2016"/>
        <w:gridCol w:w="2016"/>
      </w:tblGrid>
      <w:tr w:rsidR="000A6363" w:rsidRPr="00281428" w14:paraId="26D32FF8" w14:textId="77777777" w:rsidTr="009C27A8">
        <w:trPr>
          <w:cantSplit/>
          <w:trHeight w:hRule="exact" w:val="766"/>
          <w:jc w:val="center"/>
        </w:trPr>
        <w:tc>
          <w:tcPr>
            <w:tcW w:w="2016" w:type="dxa"/>
            <w:tcBorders>
              <w:bottom w:val="nil"/>
            </w:tcBorders>
            <w:shd w:val="clear" w:color="auto" w:fill="auto"/>
          </w:tcPr>
          <w:p w14:paraId="4DD1F00C"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Floor</w:t>
            </w:r>
          </w:p>
          <w:p w14:paraId="09F2DAFF"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Cleaner</w:t>
            </w:r>
          </w:p>
          <w:p w14:paraId="44C82BEC" w14:textId="77777777" w:rsidR="000A6363" w:rsidRPr="00281428" w:rsidRDefault="000A6363" w:rsidP="000803DF">
            <w:pPr>
              <w:spacing w:after="0"/>
              <w:jc w:val="center"/>
              <w:rPr>
                <w:rFonts w:ascii="Arial Black" w:hAnsi="Arial Black"/>
                <w:sz w:val="18"/>
                <w:szCs w:val="18"/>
                <w:u w:val="single"/>
              </w:rPr>
            </w:pPr>
          </w:p>
        </w:tc>
        <w:tc>
          <w:tcPr>
            <w:tcW w:w="2016" w:type="dxa"/>
            <w:tcBorders>
              <w:bottom w:val="nil"/>
            </w:tcBorders>
            <w:shd w:val="clear" w:color="auto" w:fill="auto"/>
            <w:vAlign w:val="center"/>
          </w:tcPr>
          <w:p w14:paraId="4E49DAEB" w14:textId="77777777" w:rsidR="000A6363" w:rsidRPr="00281428" w:rsidRDefault="000A6363" w:rsidP="000803DF">
            <w:pPr>
              <w:spacing w:after="0"/>
              <w:jc w:val="center"/>
              <w:rPr>
                <w:rFonts w:ascii="Arial Black" w:hAnsi="Arial Black"/>
                <w:sz w:val="18"/>
                <w:szCs w:val="18"/>
              </w:rPr>
            </w:pPr>
            <w:r w:rsidRPr="00281428">
              <w:rPr>
                <w:rFonts w:ascii="Arial Black" w:hAnsi="Arial Black"/>
                <w:sz w:val="18"/>
                <w:szCs w:val="18"/>
                <w:u w:val="single"/>
              </w:rPr>
              <w:t>Floor</w:t>
            </w:r>
          </w:p>
          <w:p w14:paraId="02604F94"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Cleaner</w:t>
            </w:r>
          </w:p>
          <w:p w14:paraId="43D98AF3" w14:textId="77777777" w:rsidR="000A6363" w:rsidRPr="00281428" w:rsidRDefault="000A6363" w:rsidP="000803DF">
            <w:pPr>
              <w:spacing w:after="0"/>
              <w:jc w:val="center"/>
              <w:rPr>
                <w:rFonts w:ascii="Arial Black" w:hAnsi="Arial Black"/>
                <w:sz w:val="18"/>
                <w:szCs w:val="18"/>
                <w:u w:val="single"/>
              </w:rPr>
            </w:pPr>
          </w:p>
        </w:tc>
        <w:tc>
          <w:tcPr>
            <w:tcW w:w="2016" w:type="dxa"/>
            <w:tcBorders>
              <w:bottom w:val="nil"/>
            </w:tcBorders>
            <w:shd w:val="clear" w:color="auto" w:fill="auto"/>
          </w:tcPr>
          <w:p w14:paraId="0BB4703D"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Floor</w:t>
            </w:r>
          </w:p>
          <w:p w14:paraId="2442841E"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Cleaner</w:t>
            </w:r>
          </w:p>
        </w:tc>
      </w:tr>
      <w:tr w:rsidR="000A6363" w:rsidRPr="00281428" w14:paraId="1392F24F" w14:textId="77777777" w:rsidTr="009C27A8">
        <w:trPr>
          <w:cantSplit/>
          <w:trHeight w:hRule="exact" w:val="711"/>
          <w:jc w:val="center"/>
        </w:trPr>
        <w:tc>
          <w:tcPr>
            <w:tcW w:w="2016" w:type="dxa"/>
            <w:tcBorders>
              <w:top w:val="nil"/>
              <w:bottom w:val="single" w:sz="4" w:space="0" w:color="auto"/>
            </w:tcBorders>
            <w:shd w:val="clear" w:color="auto" w:fill="auto"/>
          </w:tcPr>
          <w:p w14:paraId="0EE3F1FF" w14:textId="77777777" w:rsidR="000A6363" w:rsidRPr="00281428" w:rsidRDefault="000A6363" w:rsidP="000803DF">
            <w:pPr>
              <w:spacing w:after="0"/>
              <w:jc w:val="center"/>
              <w:rPr>
                <w:rFonts w:ascii="Arial Black" w:hAnsi="Arial Black"/>
                <w:sz w:val="18"/>
                <w:szCs w:val="18"/>
                <w:u w:val="single"/>
              </w:rPr>
            </w:pPr>
          </w:p>
        </w:tc>
        <w:tc>
          <w:tcPr>
            <w:tcW w:w="2016" w:type="dxa"/>
            <w:tcBorders>
              <w:top w:val="nil"/>
              <w:bottom w:val="single" w:sz="4" w:space="0" w:color="auto"/>
            </w:tcBorders>
            <w:shd w:val="clear" w:color="auto" w:fill="auto"/>
            <w:vAlign w:val="center"/>
          </w:tcPr>
          <w:p w14:paraId="1A37B098" w14:textId="6160A33F" w:rsidR="00CE3008"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NET WEIGH</w:t>
            </w:r>
            <w:r w:rsidR="00CE3008" w:rsidRPr="00281428">
              <w:rPr>
                <w:rFonts w:ascii="Arial Black" w:hAnsi="Arial Black"/>
                <w:sz w:val="18"/>
                <w:szCs w:val="18"/>
                <w:u w:val="single"/>
              </w:rPr>
              <w:t>T</w:t>
            </w:r>
            <w:r w:rsidRPr="00281428">
              <w:rPr>
                <w:rFonts w:ascii="Arial Black" w:hAnsi="Arial Black"/>
                <w:sz w:val="18"/>
                <w:szCs w:val="18"/>
                <w:u w:val="single"/>
              </w:rPr>
              <w:t xml:space="preserve"> </w:t>
            </w:r>
          </w:p>
          <w:p w14:paraId="59C78041" w14:textId="71268111"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15 kg</w:t>
            </w:r>
            <w:r w:rsidR="005246A2" w:rsidRPr="00281428">
              <w:rPr>
                <w:rFonts w:ascii="Arial Black" w:hAnsi="Arial Black"/>
                <w:sz w:val="18"/>
                <w:szCs w:val="18"/>
                <w:u w:val="single"/>
              </w:rPr>
              <w:t xml:space="preserve"> (</w:t>
            </w:r>
            <w:r w:rsidR="00CE3008" w:rsidRPr="00281428">
              <w:rPr>
                <w:rFonts w:ascii="Arial Black" w:hAnsi="Arial Black"/>
                <w:sz w:val="18"/>
                <w:szCs w:val="18"/>
                <w:u w:val="single"/>
              </w:rPr>
              <w:t xml:space="preserve">33 </w:t>
            </w:r>
            <w:r w:rsidR="005246A2" w:rsidRPr="00281428">
              <w:rPr>
                <w:rFonts w:ascii="Arial Black" w:hAnsi="Arial Black"/>
                <w:sz w:val="18"/>
                <w:szCs w:val="18"/>
                <w:u w:val="single"/>
              </w:rPr>
              <w:t>LB)</w:t>
            </w:r>
          </w:p>
        </w:tc>
        <w:tc>
          <w:tcPr>
            <w:tcW w:w="2016" w:type="dxa"/>
            <w:tcBorders>
              <w:top w:val="nil"/>
              <w:bottom w:val="single" w:sz="4" w:space="0" w:color="auto"/>
            </w:tcBorders>
            <w:shd w:val="clear" w:color="auto" w:fill="auto"/>
          </w:tcPr>
          <w:p w14:paraId="5590156E" w14:textId="77777777" w:rsidR="000A6363" w:rsidRPr="00281428" w:rsidRDefault="000A6363" w:rsidP="000803DF">
            <w:pPr>
              <w:spacing w:after="0"/>
              <w:jc w:val="center"/>
              <w:rPr>
                <w:rFonts w:ascii="Arial Black" w:hAnsi="Arial Black"/>
                <w:sz w:val="18"/>
                <w:szCs w:val="18"/>
                <w:u w:val="single"/>
              </w:rPr>
            </w:pPr>
          </w:p>
        </w:tc>
      </w:tr>
    </w:tbl>
    <w:p w14:paraId="4A351AD5" w14:textId="547F8083" w:rsidR="009C27A8" w:rsidRPr="00281428" w:rsidRDefault="005246A2" w:rsidP="000803DF">
      <w:pPr>
        <w:tabs>
          <w:tab w:val="left" w:pos="1440"/>
        </w:tabs>
        <w:spacing w:before="240"/>
        <w:ind w:left="1080"/>
        <w:rPr>
          <w:b/>
          <w:bCs/>
          <w:u w:val="single"/>
        </w:rPr>
      </w:pPr>
      <w:r w:rsidRPr="00281428">
        <w:rPr>
          <w:rFonts w:ascii="Arial Black" w:hAnsi="Arial Black"/>
          <w:noProof/>
          <w:sz w:val="18"/>
          <w:szCs w:val="18"/>
          <w:u w:val="single"/>
        </w:rPr>
        <mc:AlternateContent>
          <mc:Choice Requires="wps">
            <w:drawing>
              <wp:anchor distT="0" distB="0" distL="114300" distR="114300" simplePos="0" relativeHeight="251658241" behindDoc="0" locked="0" layoutInCell="1" allowOverlap="1" wp14:anchorId="10342364" wp14:editId="6BA33970">
                <wp:simplePos x="0" y="0"/>
                <wp:positionH relativeFrom="margin">
                  <wp:posOffset>1050587</wp:posOffset>
                </wp:positionH>
                <wp:positionV relativeFrom="paragraph">
                  <wp:posOffset>18252</wp:posOffset>
                </wp:positionV>
                <wp:extent cx="3783965" cy="415047"/>
                <wp:effectExtent l="0" t="0" r="6985" b="4445"/>
                <wp:wrapNone/>
                <wp:docPr id="1" name="Text Box 2" descr="Figure 2.  Multiunit Package (three packages) with  only a Total Quantity Declar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415047"/>
                        </a:xfrm>
                        <a:prstGeom prst="rect">
                          <a:avLst/>
                        </a:prstGeom>
                        <a:solidFill>
                          <a:srgbClr val="FFFFFF"/>
                        </a:solidFill>
                        <a:ln w="9525">
                          <a:noFill/>
                          <a:miter lim="800000"/>
                          <a:headEnd/>
                          <a:tailEnd/>
                        </a:ln>
                      </wps:spPr>
                      <wps:txbx>
                        <w:txbxContent>
                          <w:p w14:paraId="57D35970" w14:textId="77777777" w:rsidR="000A4892" w:rsidRDefault="000A4892" w:rsidP="004A3614">
                            <w:pPr>
                              <w:spacing w:after="0"/>
                              <w:jc w:val="center"/>
                              <w:rPr>
                                <w:b/>
                                <w:u w:val="single"/>
                              </w:rPr>
                            </w:pPr>
                            <w:r w:rsidRPr="009C27A8">
                              <w:rPr>
                                <w:b/>
                                <w:u w:val="single"/>
                              </w:rPr>
                              <w:t xml:space="preserve">Figure 2.  Multiunit Package (three packages) with </w:t>
                            </w:r>
                          </w:p>
                          <w:p w14:paraId="500350EA" w14:textId="1F2E8C91" w:rsidR="000A4892" w:rsidRDefault="000A4892" w:rsidP="004A3614">
                            <w:pPr>
                              <w:spacing w:after="0"/>
                              <w:jc w:val="center"/>
                            </w:pPr>
                            <w:r w:rsidRPr="009C27A8">
                              <w:rPr>
                                <w:b/>
                                <w:u w:val="single"/>
                              </w:rPr>
                              <w:t>only a Total Quantity Declaration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0342364" id="_x0000_s1027" type="#_x0000_t202" alt="Figure 2.  Multiunit Package (three packages) with  only a Total Quantity Declaration&#10;" style="position:absolute;left:0;text-align:left;margin-left:82.7pt;margin-top:1.45pt;width:297.95pt;height:32.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" stroked="f">
                <v:textbox>
                  <w:txbxContent>
                    <w:p w14:paraId="57D35970" w14:textId="77777777" w:rsidR="000A4892" w:rsidRDefault="000A4892" w:rsidP="004A3614">
                      <w:pPr>
                        <w:spacing w:after="0"/>
                        <w:jc w:val="center"/>
                        <w:rPr>
                          <w:b/>
                          <w:u w:val="single"/>
                        </w:rPr>
                      </w:pPr>
                      <w:r w:rsidRPr="009C27A8">
                        <w:rPr>
                          <w:b/>
                          <w:u w:val="single"/>
                        </w:rPr>
                        <w:t xml:space="preserve">Figure 2.  Multiunit Package (three packages) with </w:t>
                      </w:r>
                    </w:p>
                    <w:p w14:paraId="500350EA" w14:textId="1F2E8C91" w:rsidR="000A4892" w:rsidRDefault="000A4892" w:rsidP="004A3614">
                      <w:pPr>
                        <w:spacing w:after="0"/>
                        <w:jc w:val="center"/>
                      </w:pPr>
                      <w:r w:rsidRPr="009C27A8">
                        <w:rPr>
                          <w:b/>
                          <w:u w:val="single"/>
                        </w:rPr>
                        <w:t>only a Total Quantity Declaration</w:t>
                      </w:r>
                    </w:p>
                  </w:txbxContent>
                </v:textbox>
                <w10:wrap anchorx="margin"/>
              </v:shape>
            </w:pict>
          </mc:Fallback>
        </mc:AlternateContent>
      </w:r>
    </w:p>
    <w:p w14:paraId="7FDFDB63" w14:textId="72F5EF98" w:rsidR="000A6363" w:rsidRPr="00281428" w:rsidRDefault="000A6363" w:rsidP="00A96162">
      <w:pPr>
        <w:spacing w:before="240"/>
        <w:ind w:left="720"/>
        <w:rPr>
          <w:b/>
          <w:bCs/>
          <w:u w:val="single"/>
        </w:rPr>
      </w:pPr>
      <w:r w:rsidRPr="00281428">
        <w:rPr>
          <w:b/>
          <w:bCs/>
          <w:u w:val="single"/>
        </w:rPr>
        <w:t>5.4.1.1.</w:t>
      </w:r>
      <w:r w:rsidR="001A36A7" w:rsidRPr="00281428">
        <w:rPr>
          <w:b/>
          <w:bCs/>
          <w:u w:val="single"/>
        </w:rPr>
        <w:t xml:space="preserve">  </w:t>
      </w:r>
      <w:r w:rsidRPr="00281428">
        <w:rPr>
          <w:b/>
          <w:bCs/>
          <w:u w:val="single"/>
        </w:rPr>
        <w:t>MAV Application</w:t>
      </w:r>
    </w:p>
    <w:p w14:paraId="2E5BFBF8" w14:textId="754F3628" w:rsidR="009C27A8" w:rsidRPr="00281428" w:rsidRDefault="000A6363" w:rsidP="000803DF">
      <w:pPr>
        <w:ind w:left="1080"/>
        <w:rPr>
          <w:b/>
          <w:szCs w:val="24"/>
          <w:u w:val="single"/>
        </w:rPr>
      </w:pPr>
      <w:r w:rsidRPr="00281428">
        <w:rPr>
          <w:b/>
          <w:bCs/>
          <w:u w:val="single"/>
        </w:rPr>
        <w:t>When multiunit package label do</w:t>
      </w:r>
      <w:r w:rsidR="00BD64F2" w:rsidRPr="00281428">
        <w:rPr>
          <w:b/>
          <w:bCs/>
          <w:u w:val="single"/>
        </w:rPr>
        <w:t>es</w:t>
      </w:r>
      <w:r w:rsidRPr="00281428">
        <w:rPr>
          <w:b/>
          <w:bCs/>
          <w:u w:val="single"/>
        </w:rPr>
        <w:t xml:space="preserve"> not include a quantity </w:t>
      </w:r>
      <w:r w:rsidR="009D72DC" w:rsidRPr="00281428">
        <w:rPr>
          <w:b/>
          <w:bCs/>
          <w:u w:val="single"/>
        </w:rPr>
        <w:t xml:space="preserve">statement </w:t>
      </w:r>
      <w:r w:rsidRPr="00281428">
        <w:rPr>
          <w:b/>
          <w:bCs/>
          <w:u w:val="single"/>
        </w:rPr>
        <w:t xml:space="preserve">for </w:t>
      </w:r>
      <w:r w:rsidR="009D72DC" w:rsidRPr="00281428">
        <w:rPr>
          <w:b/>
          <w:bCs/>
          <w:u w:val="single"/>
        </w:rPr>
        <w:t>each</w:t>
      </w:r>
      <w:r w:rsidRPr="00281428">
        <w:rPr>
          <w:b/>
          <w:bCs/>
          <w:u w:val="single"/>
        </w:rPr>
        <w:t xml:space="preserve"> individual inner </w:t>
      </w:r>
      <w:r w:rsidR="00FA3854" w:rsidRPr="00281428">
        <w:rPr>
          <w:b/>
          <w:bCs/>
          <w:u w:val="single"/>
        </w:rPr>
        <w:t>package</w:t>
      </w:r>
      <w:r w:rsidRPr="00281428">
        <w:rPr>
          <w:b/>
          <w:bCs/>
          <w:u w:val="single"/>
        </w:rPr>
        <w:t xml:space="preserve"> (e.g., only a total quantity appears) a Total Quantity MAV cannot be applied because the quantities in the individual inner packages </w:t>
      </w:r>
      <w:r w:rsidR="00B72B6E" w:rsidRPr="00281428">
        <w:rPr>
          <w:b/>
          <w:bCs/>
          <w:u w:val="single"/>
        </w:rPr>
        <w:t xml:space="preserve">are </w:t>
      </w:r>
      <w:r w:rsidRPr="00281428">
        <w:rPr>
          <w:b/>
          <w:bCs/>
          <w:u w:val="single"/>
        </w:rPr>
        <w:t>unknown.  In th</w:t>
      </w:r>
      <w:r w:rsidR="00BD64F2" w:rsidRPr="00281428">
        <w:rPr>
          <w:b/>
          <w:bCs/>
          <w:u w:val="single"/>
        </w:rPr>
        <w:t>is</w:t>
      </w:r>
      <w:r w:rsidRPr="00281428">
        <w:rPr>
          <w:b/>
          <w:bCs/>
          <w:u w:val="single"/>
        </w:rPr>
        <w:t xml:space="preserve"> case, the MAV value for the total quantity declaration</w:t>
      </w:r>
      <w:r w:rsidR="00BD64F2" w:rsidRPr="00281428">
        <w:rPr>
          <w:b/>
          <w:bCs/>
          <w:u w:val="single"/>
        </w:rPr>
        <w:t xml:space="preserve"> as listed </w:t>
      </w:r>
      <w:r w:rsidRPr="00281428">
        <w:rPr>
          <w:b/>
          <w:bCs/>
          <w:u w:val="single"/>
        </w:rPr>
        <w:t xml:space="preserve">in the MAV tables (See Appendix A. Tables) is compared to the Total Quantity Package Error </w:t>
      </w:r>
      <w:r w:rsidRPr="00281428">
        <w:rPr>
          <w:b/>
          <w:szCs w:val="24"/>
          <w:u w:val="single"/>
        </w:rPr>
        <w:t xml:space="preserve">to determine if any </w:t>
      </w:r>
      <w:r w:rsidR="006B00C9" w:rsidRPr="00281428">
        <w:rPr>
          <w:b/>
          <w:szCs w:val="24"/>
          <w:u w:val="single"/>
        </w:rPr>
        <w:t xml:space="preserve">package </w:t>
      </w:r>
      <w:r w:rsidRPr="00281428">
        <w:rPr>
          <w:b/>
          <w:szCs w:val="24"/>
          <w:u w:val="single"/>
        </w:rPr>
        <w:t xml:space="preserve">errors </w:t>
      </w:r>
      <w:r w:rsidR="00FF06E6" w:rsidRPr="00281428">
        <w:rPr>
          <w:b/>
          <w:szCs w:val="24"/>
          <w:u w:val="single"/>
        </w:rPr>
        <w:t>are</w:t>
      </w:r>
      <w:r w:rsidRPr="00281428">
        <w:rPr>
          <w:b/>
          <w:szCs w:val="24"/>
          <w:u w:val="single"/>
        </w:rPr>
        <w:t xml:space="preserve"> unreasonable (</w:t>
      </w:r>
      <w:r w:rsidR="00BD64F2" w:rsidRPr="00281428">
        <w:rPr>
          <w:b/>
          <w:szCs w:val="24"/>
          <w:u w:val="single"/>
        </w:rPr>
        <w:t xml:space="preserve">see </w:t>
      </w:r>
      <w:r w:rsidRPr="00281428">
        <w:rPr>
          <w:b/>
          <w:szCs w:val="24"/>
          <w:u w:val="single"/>
        </w:rPr>
        <w:t xml:space="preserve">Section 2.3.7.1. “MAV Requirement”). </w:t>
      </w:r>
    </w:p>
    <w:p w14:paraId="2709CCEC" w14:textId="049F5ABE" w:rsidR="000A6363" w:rsidRPr="00281428" w:rsidRDefault="000A6363" w:rsidP="000803DF">
      <w:pPr>
        <w:ind w:left="360"/>
        <w:rPr>
          <w:b/>
          <w:szCs w:val="20"/>
          <w:u w:val="single"/>
        </w:rPr>
      </w:pPr>
      <w:r w:rsidRPr="00281428">
        <w:rPr>
          <w:b/>
          <w:szCs w:val="24"/>
          <w:u w:val="single"/>
        </w:rPr>
        <w:t>5.4.2.</w:t>
      </w:r>
      <w:r w:rsidR="00BD64F2" w:rsidRPr="00281428">
        <w:rPr>
          <w:b/>
          <w:szCs w:val="24"/>
          <w:u w:val="single"/>
        </w:rPr>
        <w:t xml:space="preserve">  </w:t>
      </w:r>
      <w:r w:rsidRPr="00281428">
        <w:rPr>
          <w:b/>
          <w:szCs w:val="24"/>
          <w:u w:val="single"/>
        </w:rPr>
        <w:t>Variety Packages: N</w:t>
      </w:r>
      <w:r w:rsidRPr="00281428">
        <w:rPr>
          <w:b/>
          <w:szCs w:val="20"/>
          <w:u w:val="single"/>
        </w:rPr>
        <w:t>on-Uniform Quantity Declarations</w:t>
      </w:r>
    </w:p>
    <w:p w14:paraId="3940DCC1" w14:textId="145DB347" w:rsidR="00BD64F2" w:rsidRPr="00281428" w:rsidRDefault="00BD64F2" w:rsidP="000803DF">
      <w:pPr>
        <w:ind w:left="360"/>
        <w:rPr>
          <w:b/>
          <w:szCs w:val="20"/>
          <w:u w:val="single"/>
        </w:rPr>
      </w:pPr>
      <w:r w:rsidRPr="00281428">
        <w:rPr>
          <w:b/>
          <w:szCs w:val="20"/>
          <w:u w:val="single"/>
        </w:rPr>
        <w:t xml:space="preserve">UPLR, </w:t>
      </w:r>
      <w:r w:rsidR="000A6363" w:rsidRPr="00281428">
        <w:rPr>
          <w:b/>
          <w:szCs w:val="20"/>
          <w:u w:val="single"/>
        </w:rPr>
        <w:t xml:space="preserve">Section 10.6. </w:t>
      </w:r>
      <w:r w:rsidRPr="00281428">
        <w:rPr>
          <w:b/>
          <w:szCs w:val="20"/>
          <w:u w:val="single"/>
        </w:rPr>
        <w:t>“</w:t>
      </w:r>
      <w:r w:rsidR="000A6363" w:rsidRPr="00281428">
        <w:rPr>
          <w:b/>
          <w:szCs w:val="20"/>
          <w:u w:val="single"/>
        </w:rPr>
        <w:t>Variety Packages</w:t>
      </w:r>
      <w:r w:rsidRPr="00281428">
        <w:rPr>
          <w:b/>
          <w:szCs w:val="20"/>
          <w:u w:val="single"/>
        </w:rPr>
        <w:t>”</w:t>
      </w:r>
      <w:r w:rsidR="000A6363" w:rsidRPr="00281428">
        <w:rPr>
          <w:b/>
          <w:szCs w:val="20"/>
          <w:u w:val="single"/>
        </w:rPr>
        <w:t xml:space="preserve"> </w:t>
      </w:r>
      <w:r w:rsidR="00B72B6E" w:rsidRPr="00281428">
        <w:rPr>
          <w:b/>
          <w:szCs w:val="20"/>
          <w:u w:val="single"/>
        </w:rPr>
        <w:t>s</w:t>
      </w:r>
      <w:r w:rsidR="000A6363" w:rsidRPr="00281428">
        <w:rPr>
          <w:b/>
          <w:szCs w:val="20"/>
          <w:u w:val="single"/>
        </w:rPr>
        <w:t xml:space="preserve">tates </w:t>
      </w:r>
      <w:r w:rsidR="00B72B6E" w:rsidRPr="00281428">
        <w:rPr>
          <w:b/>
          <w:szCs w:val="20"/>
          <w:u w:val="single"/>
        </w:rPr>
        <w:t xml:space="preserve">that </w:t>
      </w:r>
      <w:r w:rsidR="000A6363" w:rsidRPr="00281428">
        <w:rPr>
          <w:b/>
          <w:szCs w:val="20"/>
          <w:u w:val="single"/>
        </w:rPr>
        <w:t>a v</w:t>
      </w:r>
      <w:r w:rsidR="000A6363" w:rsidRPr="00281428">
        <w:rPr>
          <w:b/>
          <w:bCs/>
          <w:u w:val="single"/>
        </w:rPr>
        <w:t xml:space="preserve">ariety package is required to have total quantity declaration.  </w:t>
      </w:r>
      <w:r w:rsidRPr="00281428">
        <w:rPr>
          <w:b/>
          <w:szCs w:val="20"/>
          <w:u w:val="single"/>
        </w:rPr>
        <w:t>T</w:t>
      </w:r>
      <w:r w:rsidR="000A6363" w:rsidRPr="00281428">
        <w:rPr>
          <w:b/>
          <w:szCs w:val="20"/>
          <w:u w:val="single"/>
        </w:rPr>
        <w:t xml:space="preserve">he commodities may be generically </w:t>
      </w:r>
      <w:r w:rsidR="00FF186E" w:rsidRPr="00281428">
        <w:rPr>
          <w:b/>
          <w:szCs w:val="20"/>
          <w:u w:val="single"/>
        </w:rPr>
        <w:t>similar;</w:t>
      </w:r>
      <w:r w:rsidRPr="00281428">
        <w:rPr>
          <w:b/>
          <w:szCs w:val="20"/>
          <w:u w:val="single"/>
        </w:rPr>
        <w:t xml:space="preserve"> however,</w:t>
      </w:r>
      <w:r w:rsidR="000A6363" w:rsidRPr="00281428">
        <w:rPr>
          <w:b/>
          <w:szCs w:val="20"/>
          <w:u w:val="single"/>
        </w:rPr>
        <w:t xml:space="preserve"> they can differ in weight, measure, volume, or </w:t>
      </w:r>
      <w:r w:rsidR="006B00C9" w:rsidRPr="00281428">
        <w:rPr>
          <w:b/>
          <w:szCs w:val="20"/>
          <w:u w:val="single"/>
        </w:rPr>
        <w:t>style variation (</w:t>
      </w:r>
      <w:proofErr w:type="gramStart"/>
      <w:r w:rsidR="006B00C9" w:rsidRPr="00281428">
        <w:rPr>
          <w:b/>
          <w:szCs w:val="20"/>
          <w:u w:val="single"/>
        </w:rPr>
        <w:t>e.g.</w:t>
      </w:r>
      <w:proofErr w:type="gramEnd"/>
      <w:r w:rsidR="006B00C9" w:rsidRPr="00281428">
        <w:rPr>
          <w:b/>
          <w:szCs w:val="20"/>
          <w:u w:val="single"/>
        </w:rPr>
        <w:t xml:space="preserve"> color, flavor, scent, etc.).</w:t>
      </w:r>
      <w:r w:rsidR="000A6363" w:rsidRPr="00281428">
        <w:rPr>
          <w:b/>
          <w:szCs w:val="20"/>
          <w:u w:val="single"/>
        </w:rPr>
        <w:t xml:space="preserve">  When the </w:t>
      </w:r>
      <w:r w:rsidR="00B72B6E" w:rsidRPr="00281428">
        <w:rPr>
          <w:b/>
          <w:szCs w:val="20"/>
          <w:u w:val="single"/>
        </w:rPr>
        <w:t xml:space="preserve">labeled </w:t>
      </w:r>
      <w:r w:rsidR="000A6363" w:rsidRPr="00281428">
        <w:rPr>
          <w:b/>
          <w:szCs w:val="20"/>
          <w:u w:val="single"/>
        </w:rPr>
        <w:t>weight, measure or count varies</w:t>
      </w:r>
      <w:r w:rsidR="00B72B6E" w:rsidRPr="00281428">
        <w:rPr>
          <w:b/>
          <w:szCs w:val="20"/>
          <w:u w:val="single"/>
        </w:rPr>
        <w:t>,</w:t>
      </w:r>
      <w:r w:rsidR="000A6363" w:rsidRPr="00281428">
        <w:rPr>
          <w:b/>
          <w:szCs w:val="20"/>
          <w:u w:val="single"/>
        </w:rPr>
        <w:t xml:space="preserve"> the value of the </w:t>
      </w:r>
      <w:r w:rsidR="006B00C9" w:rsidRPr="00281428">
        <w:rPr>
          <w:b/>
          <w:szCs w:val="20"/>
          <w:u w:val="single"/>
        </w:rPr>
        <w:t xml:space="preserve">applicable </w:t>
      </w:r>
      <w:r w:rsidR="000A6363" w:rsidRPr="00281428">
        <w:rPr>
          <w:b/>
          <w:szCs w:val="20"/>
          <w:u w:val="single"/>
        </w:rPr>
        <w:t xml:space="preserve">MAV can also vary.  </w:t>
      </w:r>
    </w:p>
    <w:p w14:paraId="3E074E67" w14:textId="40F124D1" w:rsidR="000A6363" w:rsidRPr="00281428" w:rsidRDefault="000A6363" w:rsidP="000803DF">
      <w:pPr>
        <w:ind w:left="360"/>
        <w:rPr>
          <w:b/>
          <w:szCs w:val="20"/>
          <w:u w:val="single"/>
        </w:rPr>
      </w:pPr>
      <w:r w:rsidRPr="00281428">
        <w:rPr>
          <w:b/>
          <w:szCs w:val="20"/>
          <w:u w:val="single"/>
        </w:rPr>
        <w:t>When variety packages are tested</w:t>
      </w:r>
      <w:r w:rsidR="00B72B6E" w:rsidRPr="00281428">
        <w:rPr>
          <w:b/>
          <w:szCs w:val="20"/>
          <w:u w:val="single"/>
        </w:rPr>
        <w:t>,</w:t>
      </w:r>
      <w:r w:rsidRPr="00281428">
        <w:rPr>
          <w:b/>
          <w:szCs w:val="20"/>
          <w:u w:val="single"/>
        </w:rPr>
        <w:t xml:space="preserve"> the procedure used to calculate a Total Quantity MAV requires the summing of the MAV values over the number of inner packages of all types.  </w:t>
      </w:r>
      <w:r w:rsidR="00FF06E6" w:rsidRPr="00281428">
        <w:rPr>
          <w:b/>
          <w:szCs w:val="20"/>
          <w:u w:val="single"/>
        </w:rPr>
        <w:t>An example is</w:t>
      </w:r>
      <w:r w:rsidR="00CD4DDF" w:rsidRPr="00281428">
        <w:rPr>
          <w:b/>
          <w:szCs w:val="20"/>
          <w:u w:val="single"/>
        </w:rPr>
        <w:t xml:space="preserve"> shown in</w:t>
      </w:r>
      <w:r w:rsidRPr="00281428">
        <w:rPr>
          <w:b/>
          <w:szCs w:val="20"/>
          <w:u w:val="single"/>
        </w:rPr>
        <w:t xml:space="preserve"> Figure 3. Variety Package – Four Similar but Different Products with Varying Net Weights</w:t>
      </w:r>
      <w:r w:rsidR="00FF06E6" w:rsidRPr="00281428">
        <w:rPr>
          <w:b/>
          <w:szCs w:val="20"/>
          <w:u w:val="single"/>
        </w:rPr>
        <w:t>)</w:t>
      </w:r>
      <w:r w:rsidRPr="00281428">
        <w:rPr>
          <w:b/>
          <w:szCs w:val="20"/>
          <w:u w:val="single"/>
        </w:rPr>
        <w:t xml:space="preserve"> to illustrate a total quantity declaration, count, and the weight of the individual inner packages.</w:t>
      </w:r>
      <w:r w:rsidR="00BD64F2" w:rsidRPr="00281428">
        <w:rPr>
          <w:b/>
          <w:szCs w:val="20"/>
          <w:u w:val="single"/>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712"/>
        <w:gridCol w:w="4208"/>
      </w:tblGrid>
      <w:tr w:rsidR="000A6363" w:rsidRPr="00281428" w14:paraId="7175A252" w14:textId="77777777" w:rsidTr="00FF06E6">
        <w:trPr>
          <w:jc w:val="center"/>
        </w:trPr>
        <w:tc>
          <w:tcPr>
            <w:tcW w:w="7920" w:type="dxa"/>
            <w:gridSpan w:val="2"/>
            <w:shd w:val="clear" w:color="auto" w:fill="auto"/>
          </w:tcPr>
          <w:p w14:paraId="72FB27D5" w14:textId="640B38A3" w:rsidR="000A6363" w:rsidRPr="00281428" w:rsidRDefault="000A6363" w:rsidP="000803DF">
            <w:pPr>
              <w:spacing w:before="60" w:after="60"/>
              <w:ind w:left="360"/>
              <w:jc w:val="center"/>
              <w:rPr>
                <w:b/>
                <w:szCs w:val="20"/>
                <w:u w:val="single"/>
              </w:rPr>
            </w:pPr>
            <w:r w:rsidRPr="00281428">
              <w:rPr>
                <w:b/>
                <w:szCs w:val="20"/>
                <w:u w:val="single"/>
              </w:rPr>
              <w:t>30 Candy Bar – Variety Pack</w:t>
            </w:r>
          </w:p>
          <w:p w14:paraId="2834177B" w14:textId="62C4785E" w:rsidR="000A6363" w:rsidRPr="00281428" w:rsidRDefault="000A6363" w:rsidP="000803DF">
            <w:pPr>
              <w:spacing w:before="60" w:after="60"/>
              <w:ind w:left="360"/>
              <w:jc w:val="center"/>
              <w:rPr>
                <w:b/>
                <w:szCs w:val="20"/>
                <w:u w:val="single"/>
              </w:rPr>
            </w:pPr>
            <w:r w:rsidRPr="00281428">
              <w:rPr>
                <w:b/>
                <w:szCs w:val="20"/>
                <w:u w:val="single"/>
              </w:rPr>
              <w:t>Total Net Weight 1.33 kg</w:t>
            </w:r>
            <w:r w:rsidR="00CD4DDF" w:rsidRPr="00281428">
              <w:rPr>
                <w:b/>
                <w:szCs w:val="20"/>
                <w:u w:val="single"/>
              </w:rPr>
              <w:t xml:space="preserve"> (</w:t>
            </w:r>
            <w:r w:rsidR="00B379CC" w:rsidRPr="00281428">
              <w:rPr>
                <w:b/>
                <w:szCs w:val="20"/>
                <w:u w:val="single"/>
              </w:rPr>
              <w:t>2.9 LB</w:t>
            </w:r>
            <w:r w:rsidR="00CD4DDF" w:rsidRPr="00281428">
              <w:rPr>
                <w:b/>
                <w:szCs w:val="20"/>
                <w:u w:val="single"/>
              </w:rPr>
              <w:t>)</w:t>
            </w:r>
          </w:p>
        </w:tc>
      </w:tr>
      <w:tr w:rsidR="000A6363" w:rsidRPr="00281428" w14:paraId="4FECD9B7" w14:textId="77777777" w:rsidTr="00FF06E6">
        <w:trPr>
          <w:jc w:val="center"/>
        </w:trPr>
        <w:tc>
          <w:tcPr>
            <w:tcW w:w="3712" w:type="dxa"/>
            <w:tcBorders>
              <w:bottom w:val="single" w:sz="4" w:space="0" w:color="auto"/>
            </w:tcBorders>
            <w:shd w:val="clear" w:color="auto" w:fill="auto"/>
            <w:vAlign w:val="center"/>
          </w:tcPr>
          <w:p w14:paraId="038812E4" w14:textId="4922FE9C" w:rsidR="00CE3008" w:rsidRPr="00281428" w:rsidRDefault="000A6363" w:rsidP="000803DF">
            <w:pPr>
              <w:spacing w:before="60" w:after="60"/>
              <w:ind w:left="360"/>
              <w:jc w:val="center"/>
              <w:rPr>
                <w:b/>
                <w:szCs w:val="20"/>
                <w:u w:val="single"/>
              </w:rPr>
            </w:pPr>
            <w:r w:rsidRPr="00281428">
              <w:rPr>
                <w:b/>
                <w:szCs w:val="20"/>
                <w:u w:val="single"/>
              </w:rPr>
              <w:t xml:space="preserve">10 – 55 g </w:t>
            </w:r>
            <w:r w:rsidR="00CD4DDF" w:rsidRPr="00281428">
              <w:rPr>
                <w:b/>
                <w:szCs w:val="20"/>
                <w:u w:val="single"/>
              </w:rPr>
              <w:t>(</w:t>
            </w:r>
            <w:r w:rsidR="00CE3008" w:rsidRPr="00281428">
              <w:rPr>
                <w:b/>
                <w:szCs w:val="20"/>
                <w:u w:val="single"/>
              </w:rPr>
              <w:t>1.9 oz</w:t>
            </w:r>
            <w:r w:rsidR="00CD4DDF" w:rsidRPr="00281428">
              <w:rPr>
                <w:b/>
                <w:szCs w:val="20"/>
                <w:u w:val="single"/>
              </w:rPr>
              <w:t>)</w:t>
            </w:r>
            <w:r w:rsidR="00CE3008" w:rsidRPr="00281428">
              <w:rPr>
                <w:b/>
                <w:szCs w:val="20"/>
                <w:u w:val="single"/>
              </w:rPr>
              <w:t xml:space="preserve"> </w:t>
            </w:r>
          </w:p>
          <w:p w14:paraId="48E11F6C" w14:textId="76891218" w:rsidR="000A6363" w:rsidRPr="00281428" w:rsidRDefault="000A6363" w:rsidP="000803DF">
            <w:pPr>
              <w:spacing w:before="60" w:after="60"/>
              <w:ind w:left="360"/>
              <w:jc w:val="center"/>
              <w:rPr>
                <w:b/>
                <w:szCs w:val="20"/>
                <w:u w:val="single"/>
              </w:rPr>
            </w:pPr>
            <w:r w:rsidRPr="00281428">
              <w:rPr>
                <w:b/>
                <w:szCs w:val="20"/>
                <w:u w:val="single"/>
              </w:rPr>
              <w:lastRenderedPageBreak/>
              <w:t>Peanut Butter Cups</w:t>
            </w:r>
          </w:p>
        </w:tc>
        <w:tc>
          <w:tcPr>
            <w:tcW w:w="4208" w:type="dxa"/>
            <w:tcBorders>
              <w:bottom w:val="single" w:sz="4" w:space="0" w:color="auto"/>
            </w:tcBorders>
            <w:shd w:val="clear" w:color="auto" w:fill="auto"/>
            <w:vAlign w:val="center"/>
          </w:tcPr>
          <w:p w14:paraId="3E7B3A44" w14:textId="7E1E302D" w:rsidR="00CE3008" w:rsidRPr="00281428" w:rsidRDefault="000A6363" w:rsidP="000803DF">
            <w:pPr>
              <w:spacing w:before="60" w:after="60"/>
              <w:ind w:left="360"/>
              <w:jc w:val="center"/>
              <w:rPr>
                <w:b/>
                <w:szCs w:val="20"/>
                <w:u w:val="single"/>
              </w:rPr>
            </w:pPr>
            <w:r w:rsidRPr="00281428">
              <w:rPr>
                <w:b/>
                <w:szCs w:val="20"/>
                <w:u w:val="single"/>
              </w:rPr>
              <w:lastRenderedPageBreak/>
              <w:t xml:space="preserve">6 – 30 </w:t>
            </w:r>
            <w:r w:rsidR="00CE3008" w:rsidRPr="00281428">
              <w:rPr>
                <w:b/>
                <w:szCs w:val="20"/>
                <w:u w:val="single"/>
              </w:rPr>
              <w:t>g</w:t>
            </w:r>
            <w:r w:rsidR="00CD4DDF" w:rsidRPr="00281428">
              <w:rPr>
                <w:b/>
                <w:szCs w:val="20"/>
                <w:u w:val="single"/>
              </w:rPr>
              <w:t xml:space="preserve"> (</w:t>
            </w:r>
            <w:r w:rsidR="00CE3008" w:rsidRPr="00281428">
              <w:rPr>
                <w:b/>
                <w:szCs w:val="20"/>
                <w:u w:val="single"/>
              </w:rPr>
              <w:t>1.1 oz</w:t>
            </w:r>
            <w:r w:rsidR="00CD4DDF" w:rsidRPr="00281428">
              <w:rPr>
                <w:b/>
                <w:szCs w:val="20"/>
                <w:u w:val="single"/>
              </w:rPr>
              <w:t>)</w:t>
            </w:r>
          </w:p>
          <w:p w14:paraId="7F7F40FB" w14:textId="190A62C1" w:rsidR="000A6363" w:rsidRPr="00281428" w:rsidRDefault="000A6363" w:rsidP="000803DF">
            <w:pPr>
              <w:spacing w:before="60" w:after="60"/>
              <w:ind w:left="360"/>
              <w:jc w:val="center"/>
              <w:rPr>
                <w:b/>
                <w:szCs w:val="20"/>
                <w:u w:val="single"/>
              </w:rPr>
            </w:pPr>
            <w:r w:rsidRPr="00281428">
              <w:rPr>
                <w:b/>
                <w:szCs w:val="20"/>
                <w:u w:val="single"/>
              </w:rPr>
              <w:lastRenderedPageBreak/>
              <w:t>Dark Chocolate Bars</w:t>
            </w:r>
          </w:p>
        </w:tc>
      </w:tr>
      <w:tr w:rsidR="000A6363" w:rsidRPr="00281428" w14:paraId="4A4D6061" w14:textId="77777777" w:rsidTr="00FF06E6">
        <w:trPr>
          <w:jc w:val="center"/>
        </w:trPr>
        <w:tc>
          <w:tcPr>
            <w:tcW w:w="3712" w:type="dxa"/>
            <w:tcBorders>
              <w:top w:val="single" w:sz="4" w:space="0" w:color="auto"/>
              <w:bottom w:val="double" w:sz="4" w:space="0" w:color="auto"/>
            </w:tcBorders>
            <w:shd w:val="clear" w:color="auto" w:fill="auto"/>
            <w:vAlign w:val="center"/>
          </w:tcPr>
          <w:p w14:paraId="3941130D" w14:textId="672B2EC6" w:rsidR="00CE3008" w:rsidRPr="00281428" w:rsidRDefault="000A6363" w:rsidP="000803DF">
            <w:pPr>
              <w:spacing w:before="60" w:after="120"/>
              <w:ind w:left="360"/>
              <w:jc w:val="center"/>
              <w:rPr>
                <w:b/>
                <w:szCs w:val="20"/>
                <w:u w:val="single"/>
              </w:rPr>
            </w:pPr>
            <w:r w:rsidRPr="00281428">
              <w:rPr>
                <w:b/>
                <w:szCs w:val="20"/>
                <w:u w:val="single"/>
              </w:rPr>
              <w:lastRenderedPageBreak/>
              <w:t xml:space="preserve">6 – 46 </w:t>
            </w:r>
            <w:r w:rsidR="00CE3008" w:rsidRPr="00281428">
              <w:rPr>
                <w:b/>
                <w:szCs w:val="20"/>
                <w:u w:val="single"/>
              </w:rPr>
              <w:t>g</w:t>
            </w:r>
            <w:r w:rsidR="00CD4DDF" w:rsidRPr="00281428">
              <w:rPr>
                <w:b/>
                <w:szCs w:val="20"/>
                <w:u w:val="single"/>
              </w:rPr>
              <w:t xml:space="preserve"> (</w:t>
            </w:r>
            <w:r w:rsidR="00CE3008" w:rsidRPr="00281428">
              <w:rPr>
                <w:b/>
                <w:szCs w:val="20"/>
                <w:u w:val="single"/>
              </w:rPr>
              <w:t>1.6 oz</w:t>
            </w:r>
            <w:r w:rsidR="00CD4DDF" w:rsidRPr="00281428">
              <w:rPr>
                <w:b/>
                <w:szCs w:val="20"/>
                <w:u w:val="single"/>
              </w:rPr>
              <w:t>)</w:t>
            </w:r>
          </w:p>
          <w:p w14:paraId="4C691720" w14:textId="02ACC653" w:rsidR="000A6363" w:rsidRPr="00281428" w:rsidRDefault="000A6363" w:rsidP="000803DF">
            <w:pPr>
              <w:spacing w:before="60" w:after="120"/>
              <w:ind w:left="360"/>
              <w:jc w:val="center"/>
              <w:rPr>
                <w:b/>
                <w:szCs w:val="20"/>
                <w:u w:val="single"/>
              </w:rPr>
            </w:pPr>
            <w:r w:rsidRPr="00281428">
              <w:rPr>
                <w:b/>
                <w:szCs w:val="20"/>
                <w:u w:val="single"/>
              </w:rPr>
              <w:t>Milk Chocolate Bars with Almonds</w:t>
            </w:r>
          </w:p>
        </w:tc>
        <w:tc>
          <w:tcPr>
            <w:tcW w:w="4208" w:type="dxa"/>
            <w:tcBorders>
              <w:top w:val="single" w:sz="4" w:space="0" w:color="auto"/>
              <w:bottom w:val="double" w:sz="4" w:space="0" w:color="auto"/>
            </w:tcBorders>
            <w:shd w:val="clear" w:color="auto" w:fill="auto"/>
            <w:vAlign w:val="center"/>
          </w:tcPr>
          <w:p w14:paraId="13EB3699" w14:textId="7EAE48A7" w:rsidR="00CE3008" w:rsidRPr="00281428" w:rsidRDefault="000A6363" w:rsidP="000803DF">
            <w:pPr>
              <w:spacing w:before="60" w:after="120"/>
              <w:ind w:left="360"/>
              <w:jc w:val="center"/>
              <w:rPr>
                <w:b/>
                <w:szCs w:val="20"/>
                <w:u w:val="single"/>
              </w:rPr>
            </w:pPr>
            <w:r w:rsidRPr="00281428">
              <w:rPr>
                <w:b/>
                <w:szCs w:val="20"/>
                <w:u w:val="single"/>
              </w:rPr>
              <w:t xml:space="preserve">8 – 41 </w:t>
            </w:r>
            <w:r w:rsidR="00CE3008" w:rsidRPr="00281428">
              <w:rPr>
                <w:b/>
                <w:szCs w:val="20"/>
                <w:u w:val="single"/>
              </w:rPr>
              <w:t>g</w:t>
            </w:r>
            <w:r w:rsidR="00CD4DDF" w:rsidRPr="00281428">
              <w:rPr>
                <w:b/>
                <w:szCs w:val="20"/>
                <w:u w:val="single"/>
              </w:rPr>
              <w:t xml:space="preserve"> (</w:t>
            </w:r>
            <w:r w:rsidR="00CE3008" w:rsidRPr="00281428">
              <w:rPr>
                <w:b/>
                <w:szCs w:val="20"/>
                <w:u w:val="single"/>
              </w:rPr>
              <w:t>1.5 oz</w:t>
            </w:r>
            <w:r w:rsidR="00CD4DDF" w:rsidRPr="00281428">
              <w:rPr>
                <w:b/>
                <w:szCs w:val="20"/>
                <w:u w:val="single"/>
              </w:rPr>
              <w:t>)</w:t>
            </w:r>
          </w:p>
          <w:p w14:paraId="76A8F1B3" w14:textId="1DF32550" w:rsidR="000A6363" w:rsidRPr="00281428" w:rsidRDefault="000A6363" w:rsidP="000803DF">
            <w:pPr>
              <w:spacing w:before="60" w:after="120"/>
              <w:ind w:left="360"/>
              <w:jc w:val="center"/>
              <w:rPr>
                <w:b/>
                <w:szCs w:val="20"/>
                <w:u w:val="single"/>
              </w:rPr>
            </w:pPr>
            <w:r w:rsidRPr="00281428">
              <w:rPr>
                <w:b/>
                <w:szCs w:val="20"/>
                <w:u w:val="single"/>
              </w:rPr>
              <w:t>Milk Chocolate Bars</w:t>
            </w:r>
          </w:p>
        </w:tc>
      </w:tr>
    </w:tbl>
    <w:p w14:paraId="6F93CE66" w14:textId="49264E56" w:rsidR="009C27A8" w:rsidRPr="00281428" w:rsidRDefault="009C27A8" w:rsidP="002F0196">
      <w:pPr>
        <w:spacing w:before="240"/>
        <w:rPr>
          <w:b/>
          <w:szCs w:val="24"/>
          <w:u w:val="single"/>
        </w:rPr>
      </w:pPr>
      <w:r w:rsidRPr="00281428">
        <w:rPr>
          <w:b/>
          <w:noProof/>
          <w:szCs w:val="20"/>
          <w:u w:val="single"/>
        </w:rPr>
        <mc:AlternateContent>
          <mc:Choice Requires="wps">
            <w:drawing>
              <wp:anchor distT="45720" distB="45720" distL="114300" distR="114300" simplePos="0" relativeHeight="251658242" behindDoc="0" locked="0" layoutInCell="1" allowOverlap="1" wp14:anchorId="0F78BC36" wp14:editId="153F3D44">
                <wp:simplePos x="0" y="0"/>
                <wp:positionH relativeFrom="margin">
                  <wp:posOffset>474133</wp:posOffset>
                </wp:positionH>
                <wp:positionV relativeFrom="paragraph">
                  <wp:posOffset>6773</wp:posOffset>
                </wp:positionV>
                <wp:extent cx="5003165" cy="1404620"/>
                <wp:effectExtent l="0" t="0" r="6985" b="762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1404620"/>
                        </a:xfrm>
                        <a:prstGeom prst="rect">
                          <a:avLst/>
                        </a:prstGeom>
                        <a:solidFill>
                          <a:srgbClr val="FFFFFF"/>
                        </a:solidFill>
                        <a:ln w="9525">
                          <a:noFill/>
                          <a:miter lim="800000"/>
                          <a:headEnd/>
                          <a:tailEnd/>
                        </a:ln>
                      </wps:spPr>
                      <wps:txbx>
                        <w:txbxContent>
                          <w:p w14:paraId="646726F0" w14:textId="4363A4E1" w:rsidR="000A4892" w:rsidRPr="009C27A8" w:rsidRDefault="000A4892" w:rsidP="00853A8D">
                            <w:pPr>
                              <w:spacing w:after="0"/>
                              <w:jc w:val="center"/>
                              <w:rPr>
                                <w:b/>
                                <w:u w:val="single"/>
                              </w:rPr>
                            </w:pPr>
                            <w:r w:rsidRPr="009C27A8">
                              <w:rPr>
                                <w:b/>
                                <w:u w:val="single"/>
                              </w:rPr>
                              <w:t>Figure 3. Variety Package – Four Similar but Different Products with Varying Net Weights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78BC36" id="_x0000_s1028" type="#_x0000_t202" alt="&quot;&quot;" style="position:absolute;left:0;text-align:left;margin-left:37.35pt;margin-top:.55pt;width:393.95pt;height:110.6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" stroked="f">
                <v:textbox style="mso-fit-shape-to-text:t">
                  <w:txbxContent>
                    <w:p w14:paraId="646726F0" w14:textId="4363A4E1" w:rsidR="000A4892" w:rsidRPr="009C27A8" w:rsidRDefault="000A4892" w:rsidP="00853A8D">
                      <w:pPr>
                        <w:spacing w:after="0"/>
                        <w:jc w:val="center"/>
                        <w:rPr>
                          <w:b/>
                          <w:u w:val="single"/>
                        </w:rPr>
                      </w:pPr>
                      <w:r w:rsidRPr="009C27A8">
                        <w:rPr>
                          <w:b/>
                          <w:u w:val="single"/>
                        </w:rPr>
                        <w:t>Figure 3. Variety Package – Four Similar but Different Products with Varying Net Weights</w:t>
                      </w:r>
                    </w:p>
                  </w:txbxContent>
                </v:textbox>
                <w10:wrap anchorx="margin"/>
              </v:shape>
            </w:pict>
          </mc:Fallback>
        </mc:AlternateContent>
      </w:r>
    </w:p>
    <w:p w14:paraId="157748ED" w14:textId="65D85D52" w:rsidR="000A6363" w:rsidRPr="00281428" w:rsidRDefault="000A6363" w:rsidP="00A96162">
      <w:pPr>
        <w:spacing w:before="360"/>
        <w:rPr>
          <w:b/>
          <w:szCs w:val="24"/>
          <w:u w:val="single"/>
        </w:rPr>
      </w:pPr>
      <w:r w:rsidRPr="00281428">
        <w:rPr>
          <w:b/>
          <w:szCs w:val="24"/>
          <w:u w:val="single"/>
        </w:rPr>
        <w:t>5.</w:t>
      </w:r>
      <w:r w:rsidR="00230424" w:rsidRPr="00281428">
        <w:rPr>
          <w:b/>
          <w:szCs w:val="24"/>
          <w:u w:val="single"/>
        </w:rPr>
        <w:t>5</w:t>
      </w:r>
      <w:r w:rsidRPr="00281428">
        <w:rPr>
          <w:b/>
          <w:szCs w:val="24"/>
          <w:u w:val="single"/>
        </w:rPr>
        <w:t>.  Test Procedure</w:t>
      </w:r>
      <w:r w:rsidR="00230424" w:rsidRPr="00281428">
        <w:rPr>
          <w:b/>
          <w:szCs w:val="24"/>
          <w:u w:val="single"/>
        </w:rPr>
        <w:t xml:space="preserve"> for </w:t>
      </w:r>
      <w:r w:rsidR="006B00C9" w:rsidRPr="00281428">
        <w:rPr>
          <w:b/>
          <w:szCs w:val="24"/>
          <w:u w:val="single"/>
        </w:rPr>
        <w:t xml:space="preserve">Variety </w:t>
      </w:r>
      <w:r w:rsidR="00230424" w:rsidRPr="00281428">
        <w:rPr>
          <w:b/>
          <w:szCs w:val="24"/>
          <w:u w:val="single"/>
        </w:rPr>
        <w:t xml:space="preserve">Packages </w:t>
      </w:r>
      <w:r w:rsidR="006B00C9" w:rsidRPr="00281428">
        <w:rPr>
          <w:b/>
          <w:szCs w:val="24"/>
          <w:u w:val="single"/>
        </w:rPr>
        <w:t xml:space="preserve">Containing Individual Packages </w:t>
      </w:r>
      <w:r w:rsidR="00230424" w:rsidRPr="00281428">
        <w:rPr>
          <w:b/>
          <w:szCs w:val="24"/>
          <w:u w:val="single"/>
        </w:rPr>
        <w:t>with Varying Net Weights</w:t>
      </w:r>
      <w:r w:rsidRPr="00281428">
        <w:rPr>
          <w:b/>
          <w:szCs w:val="24"/>
          <w:u w:val="single"/>
        </w:rPr>
        <w:t xml:space="preserve"> </w:t>
      </w:r>
    </w:p>
    <w:p w14:paraId="22CB5BC7" w14:textId="77777777" w:rsidR="00B379CC" w:rsidRPr="00281428" w:rsidRDefault="00B379CC" w:rsidP="00B379CC">
      <w:pPr>
        <w:spacing w:before="360"/>
        <w:rPr>
          <w:b/>
          <w:szCs w:val="24"/>
          <w:u w:val="single"/>
        </w:rPr>
      </w:pPr>
      <w:r w:rsidRPr="00281428">
        <w:rPr>
          <w:b/>
          <w:bCs/>
          <w:szCs w:val="24"/>
          <w:u w:val="single"/>
        </w:rPr>
        <w:t>Before determining the MAV and proceeding with tests of the quantity of contents in any variety package, calculate the sum of the labeled quantity statements of all individual inner packages and verify that the labeled Total Quantity Statement reflects the accurate sum.   If an error exists between the sum of the labeled quantity statements of all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w:t>
      </w:r>
    </w:p>
    <w:p w14:paraId="1C355DDA" w14:textId="13A7A1D0" w:rsidR="000A6363" w:rsidRPr="00281428" w:rsidRDefault="000A6363" w:rsidP="00DA1FCD">
      <w:pPr>
        <w:numPr>
          <w:ilvl w:val="0"/>
          <w:numId w:val="25"/>
        </w:numPr>
        <w:spacing w:before="100" w:beforeAutospacing="1" w:after="160"/>
        <w:rPr>
          <w:b/>
          <w:szCs w:val="24"/>
          <w:u w:val="single"/>
        </w:rPr>
      </w:pPr>
      <w:r w:rsidRPr="00281428">
        <w:rPr>
          <w:b/>
          <w:szCs w:val="24"/>
          <w:u w:val="single"/>
        </w:rPr>
        <w:t xml:space="preserve">When </w:t>
      </w:r>
      <w:r w:rsidR="00230424" w:rsidRPr="00281428">
        <w:rPr>
          <w:b/>
          <w:szCs w:val="24"/>
          <w:u w:val="single"/>
        </w:rPr>
        <w:t>a</w:t>
      </w:r>
      <w:r w:rsidRPr="00281428">
        <w:rPr>
          <w:b/>
          <w:szCs w:val="24"/>
          <w:u w:val="single"/>
        </w:rPr>
        <w:t xml:space="preserve"> variety package </w:t>
      </w:r>
      <w:r w:rsidR="00230424" w:rsidRPr="00281428">
        <w:rPr>
          <w:b/>
          <w:szCs w:val="24"/>
          <w:u w:val="single"/>
        </w:rPr>
        <w:t xml:space="preserve">with </w:t>
      </w:r>
      <w:r w:rsidR="00B379CC" w:rsidRPr="00281428">
        <w:rPr>
          <w:b/>
          <w:szCs w:val="24"/>
          <w:u w:val="single"/>
        </w:rPr>
        <w:t xml:space="preserve">individual inner packages with </w:t>
      </w:r>
      <w:r w:rsidR="00230424" w:rsidRPr="00281428">
        <w:rPr>
          <w:b/>
          <w:szCs w:val="24"/>
          <w:u w:val="single"/>
        </w:rPr>
        <w:t xml:space="preserve">varying net weights </w:t>
      </w:r>
      <w:r w:rsidRPr="00281428">
        <w:rPr>
          <w:b/>
          <w:szCs w:val="24"/>
          <w:u w:val="single"/>
        </w:rPr>
        <w:t>is tested</w:t>
      </w:r>
      <w:r w:rsidR="00230424" w:rsidRPr="00281428">
        <w:rPr>
          <w:b/>
          <w:szCs w:val="24"/>
          <w:u w:val="single"/>
        </w:rPr>
        <w:t>,</w:t>
      </w:r>
      <w:r w:rsidRPr="00281428">
        <w:rPr>
          <w:b/>
          <w:szCs w:val="24"/>
          <w:u w:val="single"/>
        </w:rPr>
        <w:t xml:space="preserve"> the average tare weight (e.g., packaging from the individual inner packages and the outer package combined) is determined and a nominal gross weight is used to determine the error in the total quantity declaration.  </w:t>
      </w:r>
    </w:p>
    <w:p w14:paraId="28A59ACF" w14:textId="77777777" w:rsidR="000A6363" w:rsidRPr="00281428" w:rsidRDefault="000A6363" w:rsidP="000803DF">
      <w:pPr>
        <w:spacing w:before="100" w:beforeAutospacing="1"/>
        <w:ind w:left="990"/>
        <w:jc w:val="center"/>
        <w:rPr>
          <w:b/>
          <w:i/>
          <w:szCs w:val="24"/>
          <w:u w:val="single"/>
        </w:rPr>
      </w:pPr>
      <w:r w:rsidRPr="00281428">
        <w:rPr>
          <w:b/>
          <w:i/>
          <w:szCs w:val="24"/>
          <w:u w:val="single"/>
        </w:rPr>
        <w:t>Total Quantity Package Error = Sum of Individual Inner Package Errors</w:t>
      </w:r>
    </w:p>
    <w:p w14:paraId="7430BCCE" w14:textId="6BA56FD3" w:rsidR="000A6363" w:rsidRPr="00281428" w:rsidRDefault="000A6363" w:rsidP="00A96162">
      <w:pPr>
        <w:ind w:left="720"/>
        <w:rPr>
          <w:b/>
          <w:szCs w:val="24"/>
          <w:u w:val="single"/>
        </w:rPr>
      </w:pPr>
      <w:r w:rsidRPr="00281428">
        <w:rPr>
          <w:b/>
          <w:szCs w:val="24"/>
          <w:u w:val="single"/>
        </w:rPr>
        <w:t>MAV</w:t>
      </w:r>
      <w:r w:rsidR="00230424" w:rsidRPr="00281428">
        <w:rPr>
          <w:b/>
          <w:szCs w:val="24"/>
          <w:u w:val="single"/>
        </w:rPr>
        <w:t>s</w:t>
      </w:r>
      <w:r w:rsidRPr="00281428">
        <w:rPr>
          <w:b/>
          <w:szCs w:val="24"/>
          <w:u w:val="single"/>
        </w:rPr>
        <w:t xml:space="preserve"> used </w:t>
      </w:r>
      <w:r w:rsidR="00230424" w:rsidRPr="00281428">
        <w:rPr>
          <w:b/>
          <w:szCs w:val="24"/>
          <w:u w:val="single"/>
        </w:rPr>
        <w:t>in calculating the</w:t>
      </w:r>
      <w:r w:rsidRPr="00281428">
        <w:rPr>
          <w:b/>
          <w:szCs w:val="24"/>
          <w:u w:val="single"/>
        </w:rPr>
        <w:t xml:space="preserve"> Total Quantity Package </w:t>
      </w:r>
      <w:r w:rsidR="00230424" w:rsidRPr="00281428">
        <w:rPr>
          <w:b/>
          <w:szCs w:val="24"/>
          <w:u w:val="single"/>
        </w:rPr>
        <w:t xml:space="preserve">MAV are based on the </w:t>
      </w:r>
      <w:r w:rsidR="006B00C9" w:rsidRPr="00281428">
        <w:rPr>
          <w:b/>
          <w:szCs w:val="24"/>
          <w:u w:val="single"/>
        </w:rPr>
        <w:t xml:space="preserve">respective </w:t>
      </w:r>
      <w:r w:rsidR="00230424" w:rsidRPr="00281428">
        <w:rPr>
          <w:b/>
          <w:szCs w:val="24"/>
          <w:u w:val="single"/>
        </w:rPr>
        <w:t xml:space="preserve">labeled quantities of each product type and are calculated for each product type within the variety package.  The calculated MAVs for each of the product types are summed to obtain the </w:t>
      </w:r>
      <w:r w:rsidRPr="00281428">
        <w:rPr>
          <w:b/>
          <w:szCs w:val="24"/>
          <w:u w:val="single"/>
        </w:rPr>
        <w:t xml:space="preserve">Total Quantity MAV (See example shown in Table 1.  Steps in Calculating a MAV for a Variety Package). </w:t>
      </w:r>
    </w:p>
    <w:p w14:paraId="0CC8213A" w14:textId="7D1A726E" w:rsidR="000A6363" w:rsidRPr="00281428" w:rsidRDefault="000A6363" w:rsidP="00A96162">
      <w:pPr>
        <w:rPr>
          <w:b/>
          <w:bCs/>
          <w:u w:val="single"/>
        </w:rPr>
      </w:pPr>
      <w:r w:rsidRPr="00281428">
        <w:rPr>
          <w:b/>
          <w:bCs/>
          <w:u w:val="single"/>
        </w:rPr>
        <w:t>5.</w:t>
      </w:r>
      <w:r w:rsidR="00230424" w:rsidRPr="00281428">
        <w:rPr>
          <w:b/>
          <w:bCs/>
          <w:u w:val="single"/>
        </w:rPr>
        <w:t>6.</w:t>
      </w:r>
      <w:r w:rsidRPr="00281428">
        <w:rPr>
          <w:b/>
          <w:bCs/>
          <w:u w:val="single"/>
        </w:rPr>
        <w:t xml:space="preserve">  MAV Application  </w:t>
      </w:r>
    </w:p>
    <w:p w14:paraId="74AF613E" w14:textId="31B85BC2" w:rsidR="000A6363" w:rsidRPr="00281428" w:rsidRDefault="000A6363" w:rsidP="00A96162">
      <w:pPr>
        <w:tabs>
          <w:tab w:val="left" w:pos="1980"/>
        </w:tabs>
        <w:ind w:left="360"/>
        <w:rPr>
          <w:b/>
          <w:szCs w:val="24"/>
          <w:u w:val="single"/>
        </w:rPr>
      </w:pPr>
      <w:r w:rsidRPr="00281428">
        <w:rPr>
          <w:b/>
          <w:bCs/>
          <w:u w:val="single"/>
        </w:rPr>
        <w:t xml:space="preserve">A Total Quantity MAV must be applied because the </w:t>
      </w:r>
      <w:r w:rsidR="00B72B6E" w:rsidRPr="00281428">
        <w:rPr>
          <w:b/>
          <w:bCs/>
          <w:u w:val="single"/>
        </w:rPr>
        <w:t xml:space="preserve">labeled </w:t>
      </w:r>
      <w:r w:rsidRPr="00281428">
        <w:rPr>
          <w:b/>
          <w:bCs/>
          <w:u w:val="single"/>
        </w:rPr>
        <w:t>quantities and MAVs of the individual inner packages vary.  For example, b</w:t>
      </w:r>
      <w:r w:rsidRPr="00281428">
        <w:rPr>
          <w:b/>
          <w:szCs w:val="24"/>
          <w:u w:val="single"/>
        </w:rPr>
        <w:t>ased on the quantity of the total net weight</w:t>
      </w:r>
      <w:r w:rsidR="00977312" w:rsidRPr="00281428">
        <w:rPr>
          <w:b/>
          <w:szCs w:val="24"/>
          <w:u w:val="single"/>
        </w:rPr>
        <w:t xml:space="preserve"> (as shown in Figure 3. Variety Package- Four Similar but Different Products with Varying Net Weights)</w:t>
      </w:r>
      <w:r w:rsidRPr="00281428">
        <w:rPr>
          <w:b/>
          <w:szCs w:val="24"/>
          <w:u w:val="single"/>
        </w:rPr>
        <w:t xml:space="preserve"> the MAV for 1.33 kg</w:t>
      </w:r>
      <w:r w:rsidR="00B379CC" w:rsidRPr="00281428">
        <w:rPr>
          <w:b/>
          <w:szCs w:val="24"/>
          <w:u w:val="single"/>
        </w:rPr>
        <w:t xml:space="preserve"> (2.9 LB) </w:t>
      </w:r>
      <w:r w:rsidRPr="00281428">
        <w:rPr>
          <w:b/>
          <w:szCs w:val="24"/>
          <w:u w:val="single"/>
        </w:rPr>
        <w:t xml:space="preserve"> is 42.6 g </w:t>
      </w:r>
      <w:r w:rsidR="00B379CC" w:rsidRPr="00281428">
        <w:rPr>
          <w:b/>
          <w:szCs w:val="24"/>
          <w:u w:val="single"/>
        </w:rPr>
        <w:t xml:space="preserve">(0.094 LB) </w:t>
      </w:r>
      <w:r w:rsidRPr="00281428">
        <w:rPr>
          <w:b/>
          <w:szCs w:val="24"/>
          <w:u w:val="single"/>
        </w:rPr>
        <w:t xml:space="preserve">but the “Total Quantity MAV” to be applied is 122.4 g </w:t>
      </w:r>
      <w:r w:rsidR="00B379CC" w:rsidRPr="00281428">
        <w:rPr>
          <w:b/>
          <w:szCs w:val="24"/>
          <w:u w:val="single"/>
        </w:rPr>
        <w:t>(4.261 oz) (0.27 lb)</w:t>
      </w:r>
      <w:r w:rsidRPr="00281428">
        <w:rPr>
          <w:b/>
          <w:szCs w:val="24"/>
          <w:u w:val="single"/>
        </w:rPr>
        <w:t>(See example shown in Table 1.  Steps in Calculating a MAV for a Variety Package).</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170"/>
        <w:gridCol w:w="1800"/>
        <w:gridCol w:w="2340"/>
        <w:gridCol w:w="2705"/>
      </w:tblGrid>
      <w:tr w:rsidR="00977312" w:rsidRPr="00281428" w14:paraId="38E6D862" w14:textId="77777777" w:rsidTr="002F0196">
        <w:trPr>
          <w:trHeight w:val="288"/>
          <w:jc w:val="center"/>
        </w:trPr>
        <w:tc>
          <w:tcPr>
            <w:tcW w:w="1525" w:type="dxa"/>
            <w:shd w:val="clear" w:color="auto" w:fill="D9D9D9" w:themeFill="background1" w:themeFillShade="D9"/>
          </w:tcPr>
          <w:p w14:paraId="30F42851" w14:textId="77777777" w:rsidR="00977312" w:rsidRPr="00281428" w:rsidRDefault="00977312" w:rsidP="00FF06E6">
            <w:pPr>
              <w:spacing w:before="120" w:after="0"/>
              <w:jc w:val="center"/>
              <w:rPr>
                <w:b/>
                <w:szCs w:val="24"/>
                <w:u w:val="single"/>
              </w:rPr>
            </w:pPr>
          </w:p>
        </w:tc>
        <w:tc>
          <w:tcPr>
            <w:tcW w:w="8015" w:type="dxa"/>
            <w:gridSpan w:val="4"/>
          </w:tcPr>
          <w:p w14:paraId="57F029E3" w14:textId="0096B6EC" w:rsidR="00977312" w:rsidRPr="00281428" w:rsidRDefault="00977312" w:rsidP="00FF06E6">
            <w:pPr>
              <w:spacing w:before="120" w:after="0"/>
              <w:jc w:val="center"/>
              <w:rPr>
                <w:b/>
                <w:szCs w:val="24"/>
                <w:u w:val="single"/>
              </w:rPr>
            </w:pPr>
            <w:r w:rsidRPr="00281428">
              <w:rPr>
                <w:b/>
                <w:szCs w:val="24"/>
                <w:u w:val="single"/>
              </w:rPr>
              <w:t xml:space="preserve">Table 1. Steps in Calculating a MAV for a Variety Package </w:t>
            </w:r>
          </w:p>
          <w:p w14:paraId="07328A0D" w14:textId="3E4AD592" w:rsidR="00977312" w:rsidRPr="00281428" w:rsidRDefault="00977312" w:rsidP="00FF06E6">
            <w:pPr>
              <w:spacing w:after="120"/>
              <w:jc w:val="center"/>
              <w:rPr>
                <w:b/>
                <w:szCs w:val="24"/>
                <w:u w:val="single"/>
              </w:rPr>
            </w:pPr>
            <w:r w:rsidRPr="00281428">
              <w:rPr>
                <w:b/>
                <w:szCs w:val="24"/>
                <w:u w:val="single"/>
              </w:rPr>
              <w:t xml:space="preserve">(Based on Figure 3. </w:t>
            </w:r>
            <w:r w:rsidRPr="00281428">
              <w:rPr>
                <w:b/>
                <w:szCs w:val="20"/>
                <w:u w:val="single"/>
              </w:rPr>
              <w:t>Variety Package – Four Similar but Different Products with Varying Net Weights</w:t>
            </w:r>
            <w:r w:rsidRPr="00281428">
              <w:rPr>
                <w:b/>
                <w:szCs w:val="24"/>
                <w:u w:val="single"/>
              </w:rPr>
              <w:t>)</w:t>
            </w:r>
          </w:p>
        </w:tc>
      </w:tr>
      <w:tr w:rsidR="00CD4DDF" w:rsidRPr="00281428" w14:paraId="44A987BE" w14:textId="77777777" w:rsidTr="00CD4DDF">
        <w:trPr>
          <w:jc w:val="center"/>
        </w:trPr>
        <w:tc>
          <w:tcPr>
            <w:tcW w:w="1525" w:type="dxa"/>
            <w:shd w:val="clear" w:color="auto" w:fill="auto"/>
            <w:vAlign w:val="center"/>
          </w:tcPr>
          <w:p w14:paraId="4D4BBC4D" w14:textId="77777777" w:rsidR="00977312" w:rsidRPr="00281428" w:rsidRDefault="00977312" w:rsidP="00FF06E6">
            <w:pPr>
              <w:spacing w:before="60" w:after="60"/>
              <w:jc w:val="center"/>
              <w:rPr>
                <w:b/>
                <w:szCs w:val="24"/>
                <w:u w:val="single"/>
              </w:rPr>
            </w:pPr>
            <w:r w:rsidRPr="00281428">
              <w:rPr>
                <w:b/>
                <w:szCs w:val="24"/>
                <w:u w:val="single"/>
              </w:rPr>
              <w:t>Product</w:t>
            </w:r>
          </w:p>
        </w:tc>
        <w:tc>
          <w:tcPr>
            <w:tcW w:w="1170" w:type="dxa"/>
            <w:shd w:val="clear" w:color="auto" w:fill="auto"/>
            <w:vAlign w:val="center"/>
          </w:tcPr>
          <w:p w14:paraId="6D83A864" w14:textId="65C93B63" w:rsidR="00977312" w:rsidRPr="00281428" w:rsidRDefault="00977312" w:rsidP="00FF06E6">
            <w:pPr>
              <w:spacing w:before="60" w:after="60"/>
              <w:jc w:val="center"/>
              <w:rPr>
                <w:b/>
                <w:szCs w:val="24"/>
                <w:u w:val="single"/>
              </w:rPr>
            </w:pPr>
            <w:r w:rsidRPr="00281428">
              <w:rPr>
                <w:b/>
                <w:szCs w:val="24"/>
                <w:u w:val="single"/>
              </w:rPr>
              <w:t>Number of Inner Packages</w:t>
            </w:r>
            <w:r w:rsidR="00B379CC" w:rsidRPr="00281428">
              <w:rPr>
                <w:b/>
                <w:szCs w:val="24"/>
                <w:u w:val="single"/>
              </w:rPr>
              <w:t xml:space="preserve"> </w:t>
            </w:r>
          </w:p>
        </w:tc>
        <w:tc>
          <w:tcPr>
            <w:tcW w:w="1800" w:type="dxa"/>
            <w:shd w:val="clear" w:color="auto" w:fill="auto"/>
            <w:vAlign w:val="center"/>
          </w:tcPr>
          <w:p w14:paraId="0D636BCD" w14:textId="6311338E" w:rsidR="00977312" w:rsidRPr="00281428" w:rsidRDefault="00977312" w:rsidP="00FF06E6">
            <w:pPr>
              <w:spacing w:before="60" w:after="60"/>
              <w:jc w:val="center"/>
              <w:rPr>
                <w:b/>
                <w:szCs w:val="24"/>
                <w:u w:val="single"/>
              </w:rPr>
            </w:pPr>
            <w:r w:rsidRPr="00281428">
              <w:rPr>
                <w:b/>
                <w:szCs w:val="24"/>
                <w:u w:val="single"/>
              </w:rPr>
              <w:t>Labeled Net Weight (each individual inner package)</w:t>
            </w:r>
          </w:p>
        </w:tc>
        <w:tc>
          <w:tcPr>
            <w:tcW w:w="2340" w:type="dxa"/>
          </w:tcPr>
          <w:p w14:paraId="326479D5" w14:textId="3008C6E2" w:rsidR="00977312" w:rsidRPr="00281428" w:rsidRDefault="00977312" w:rsidP="00FF06E6">
            <w:pPr>
              <w:spacing w:before="60" w:after="60"/>
              <w:jc w:val="center"/>
              <w:rPr>
                <w:b/>
                <w:szCs w:val="24"/>
                <w:u w:val="single"/>
              </w:rPr>
            </w:pPr>
            <w:r w:rsidRPr="00281428">
              <w:rPr>
                <w:b/>
                <w:szCs w:val="24"/>
                <w:u w:val="single"/>
              </w:rPr>
              <w:t xml:space="preserve">MAV for each </w:t>
            </w:r>
            <w:r w:rsidR="00B379CC" w:rsidRPr="00281428">
              <w:rPr>
                <w:b/>
                <w:szCs w:val="24"/>
                <w:u w:val="single"/>
              </w:rPr>
              <w:t xml:space="preserve">Individual </w:t>
            </w:r>
            <w:r w:rsidR="00DF5427" w:rsidRPr="00281428">
              <w:rPr>
                <w:b/>
                <w:szCs w:val="24"/>
                <w:u w:val="single"/>
              </w:rPr>
              <w:t xml:space="preserve">Inner </w:t>
            </w:r>
            <w:r w:rsidRPr="00281428">
              <w:rPr>
                <w:b/>
                <w:szCs w:val="24"/>
                <w:u w:val="single"/>
              </w:rPr>
              <w:t xml:space="preserve">Package </w:t>
            </w:r>
            <w:r w:rsidR="00B379CC" w:rsidRPr="00281428">
              <w:rPr>
                <w:b/>
                <w:szCs w:val="24"/>
                <w:u w:val="single"/>
              </w:rPr>
              <w:t xml:space="preserve">Based on the Labeled </w:t>
            </w:r>
            <w:r w:rsidRPr="00281428">
              <w:rPr>
                <w:b/>
                <w:szCs w:val="24"/>
                <w:u w:val="single"/>
              </w:rPr>
              <w:t>Net Quantity (</w:t>
            </w:r>
            <w:r w:rsidR="00DF5427" w:rsidRPr="00281428">
              <w:rPr>
                <w:b/>
                <w:szCs w:val="24"/>
                <w:u w:val="single"/>
              </w:rPr>
              <w:t xml:space="preserve">see </w:t>
            </w:r>
            <w:r w:rsidRPr="00281428">
              <w:rPr>
                <w:b/>
                <w:szCs w:val="24"/>
                <w:u w:val="single"/>
              </w:rPr>
              <w:t>MAV Table 2-5)</w:t>
            </w:r>
          </w:p>
        </w:tc>
        <w:tc>
          <w:tcPr>
            <w:tcW w:w="2705" w:type="dxa"/>
            <w:shd w:val="clear" w:color="auto" w:fill="auto"/>
            <w:vAlign w:val="center"/>
          </w:tcPr>
          <w:p w14:paraId="3D0A0689" w14:textId="7F2CB5A6" w:rsidR="00977312" w:rsidRPr="00281428" w:rsidRDefault="00977312" w:rsidP="00FF06E6">
            <w:pPr>
              <w:spacing w:before="60" w:after="60"/>
              <w:jc w:val="center"/>
              <w:rPr>
                <w:b/>
                <w:szCs w:val="24"/>
                <w:u w:val="single"/>
              </w:rPr>
            </w:pPr>
            <w:r w:rsidRPr="00281428">
              <w:rPr>
                <w:b/>
                <w:szCs w:val="24"/>
                <w:u w:val="single"/>
              </w:rPr>
              <w:t xml:space="preserve">Total </w:t>
            </w:r>
            <w:r w:rsidR="00B379CC" w:rsidRPr="00281428">
              <w:rPr>
                <w:b/>
                <w:szCs w:val="24"/>
                <w:u w:val="single"/>
              </w:rPr>
              <w:t xml:space="preserve">MAV </w:t>
            </w:r>
          </w:p>
        </w:tc>
      </w:tr>
      <w:tr w:rsidR="00CD4DDF" w:rsidRPr="00281428" w14:paraId="2C490036" w14:textId="77777777" w:rsidTr="00FF06E6">
        <w:trPr>
          <w:jc w:val="center"/>
        </w:trPr>
        <w:tc>
          <w:tcPr>
            <w:tcW w:w="1525" w:type="dxa"/>
            <w:shd w:val="clear" w:color="auto" w:fill="auto"/>
            <w:vAlign w:val="center"/>
          </w:tcPr>
          <w:p w14:paraId="647F0BD6" w14:textId="77777777" w:rsidR="00977312" w:rsidRPr="00281428" w:rsidRDefault="00977312" w:rsidP="00FF06E6">
            <w:pPr>
              <w:spacing w:before="60" w:after="60"/>
              <w:jc w:val="center"/>
              <w:rPr>
                <w:b/>
                <w:szCs w:val="20"/>
                <w:u w:val="single"/>
              </w:rPr>
            </w:pPr>
            <w:r w:rsidRPr="00281428">
              <w:rPr>
                <w:b/>
                <w:szCs w:val="20"/>
                <w:u w:val="single"/>
              </w:rPr>
              <w:t>Peanut Butter Cups</w:t>
            </w:r>
          </w:p>
        </w:tc>
        <w:tc>
          <w:tcPr>
            <w:tcW w:w="1170" w:type="dxa"/>
            <w:shd w:val="clear" w:color="auto" w:fill="auto"/>
            <w:vAlign w:val="center"/>
          </w:tcPr>
          <w:p w14:paraId="78F6045A" w14:textId="77777777" w:rsidR="00977312" w:rsidRPr="00281428" w:rsidRDefault="00977312" w:rsidP="00FF06E6">
            <w:pPr>
              <w:spacing w:before="60" w:after="60"/>
              <w:jc w:val="center"/>
              <w:rPr>
                <w:b/>
                <w:szCs w:val="24"/>
                <w:u w:val="single"/>
              </w:rPr>
            </w:pPr>
            <w:r w:rsidRPr="00281428">
              <w:rPr>
                <w:b/>
                <w:szCs w:val="24"/>
                <w:u w:val="single"/>
              </w:rPr>
              <w:t>10</w:t>
            </w:r>
          </w:p>
        </w:tc>
        <w:tc>
          <w:tcPr>
            <w:tcW w:w="1800" w:type="dxa"/>
            <w:shd w:val="clear" w:color="auto" w:fill="auto"/>
            <w:vAlign w:val="center"/>
          </w:tcPr>
          <w:p w14:paraId="280CD34A" w14:textId="37816493" w:rsidR="00977312" w:rsidRPr="00281428" w:rsidRDefault="00977312" w:rsidP="00FF06E6">
            <w:pPr>
              <w:spacing w:before="60" w:after="60"/>
              <w:jc w:val="center"/>
              <w:rPr>
                <w:b/>
                <w:szCs w:val="24"/>
                <w:u w:val="single"/>
              </w:rPr>
            </w:pPr>
            <w:r w:rsidRPr="00281428">
              <w:rPr>
                <w:b/>
                <w:szCs w:val="24"/>
                <w:u w:val="single"/>
              </w:rPr>
              <w:t>55 g</w:t>
            </w:r>
            <w:r w:rsidR="00B379CC" w:rsidRPr="00281428">
              <w:rPr>
                <w:b/>
                <w:szCs w:val="24"/>
                <w:u w:val="single"/>
              </w:rPr>
              <w:t xml:space="preserve"> (1.94 oz</w:t>
            </w:r>
            <w:r w:rsidR="00A22460" w:rsidRPr="00281428">
              <w:rPr>
                <w:b/>
                <w:szCs w:val="24"/>
                <w:u w:val="single"/>
              </w:rPr>
              <w:t>)</w:t>
            </w:r>
          </w:p>
        </w:tc>
        <w:tc>
          <w:tcPr>
            <w:tcW w:w="2340" w:type="dxa"/>
            <w:shd w:val="clear" w:color="auto" w:fill="auto"/>
            <w:vAlign w:val="center"/>
          </w:tcPr>
          <w:p w14:paraId="25D8AC0E" w14:textId="74743293" w:rsidR="00977312" w:rsidRPr="00281428" w:rsidRDefault="00977312" w:rsidP="00FF06E6">
            <w:pPr>
              <w:spacing w:before="60" w:after="60"/>
              <w:jc w:val="center"/>
              <w:rPr>
                <w:b/>
                <w:szCs w:val="24"/>
                <w:u w:val="single"/>
              </w:rPr>
            </w:pPr>
            <w:r w:rsidRPr="00281428">
              <w:rPr>
                <w:b/>
                <w:szCs w:val="24"/>
                <w:u w:val="single"/>
              </w:rPr>
              <w:t>5.4 g</w:t>
            </w:r>
            <w:r w:rsidR="00B379CC" w:rsidRPr="00281428">
              <w:rPr>
                <w:b/>
                <w:szCs w:val="24"/>
                <w:u w:val="single"/>
              </w:rPr>
              <w:t xml:space="preserve"> (0.1875 oz)</w:t>
            </w:r>
          </w:p>
        </w:tc>
        <w:tc>
          <w:tcPr>
            <w:tcW w:w="2705" w:type="dxa"/>
            <w:shd w:val="clear" w:color="auto" w:fill="auto"/>
            <w:vAlign w:val="center"/>
          </w:tcPr>
          <w:p w14:paraId="30D61001" w14:textId="77777777" w:rsidR="00977312" w:rsidRPr="00281428" w:rsidRDefault="00977312" w:rsidP="00B379CC">
            <w:pPr>
              <w:spacing w:before="60" w:after="60"/>
              <w:jc w:val="center"/>
              <w:rPr>
                <w:b/>
                <w:szCs w:val="24"/>
                <w:u w:val="single"/>
              </w:rPr>
            </w:pPr>
            <w:r w:rsidRPr="00281428">
              <w:rPr>
                <w:b/>
                <w:szCs w:val="24"/>
                <w:u w:val="single"/>
              </w:rPr>
              <w:t>10 × 5.4 = 54 g</w:t>
            </w:r>
          </w:p>
          <w:p w14:paraId="159FBE02" w14:textId="6D3610E3" w:rsidR="00B379CC" w:rsidRPr="00281428" w:rsidRDefault="00B379CC" w:rsidP="00FF06E6">
            <w:pPr>
              <w:spacing w:before="60" w:after="60"/>
              <w:jc w:val="center"/>
              <w:rPr>
                <w:b/>
                <w:szCs w:val="24"/>
                <w:u w:val="single"/>
              </w:rPr>
            </w:pPr>
            <w:r w:rsidRPr="00281428">
              <w:rPr>
                <w:b/>
                <w:szCs w:val="24"/>
                <w:u w:val="single"/>
              </w:rPr>
              <w:t>(10 × 0.1875 oz = 1.875 oz)</w:t>
            </w:r>
          </w:p>
        </w:tc>
      </w:tr>
      <w:tr w:rsidR="00CD4DDF" w:rsidRPr="00281428" w14:paraId="7DF1B1D2" w14:textId="77777777" w:rsidTr="00FF06E6">
        <w:trPr>
          <w:jc w:val="center"/>
        </w:trPr>
        <w:tc>
          <w:tcPr>
            <w:tcW w:w="1525" w:type="dxa"/>
            <w:shd w:val="clear" w:color="auto" w:fill="auto"/>
            <w:vAlign w:val="center"/>
          </w:tcPr>
          <w:p w14:paraId="3389B873" w14:textId="77777777" w:rsidR="00977312" w:rsidRPr="00281428" w:rsidRDefault="00977312" w:rsidP="00FF06E6">
            <w:pPr>
              <w:spacing w:before="60" w:after="60"/>
              <w:jc w:val="center"/>
              <w:rPr>
                <w:b/>
                <w:szCs w:val="20"/>
                <w:u w:val="single"/>
              </w:rPr>
            </w:pPr>
            <w:r w:rsidRPr="00281428">
              <w:rPr>
                <w:b/>
                <w:szCs w:val="20"/>
                <w:u w:val="single"/>
              </w:rPr>
              <w:t>Dark Chocolate Bars</w:t>
            </w:r>
          </w:p>
        </w:tc>
        <w:tc>
          <w:tcPr>
            <w:tcW w:w="1170" w:type="dxa"/>
            <w:shd w:val="clear" w:color="auto" w:fill="auto"/>
            <w:vAlign w:val="center"/>
          </w:tcPr>
          <w:p w14:paraId="4575EA65" w14:textId="77777777" w:rsidR="00977312" w:rsidRPr="00281428" w:rsidRDefault="00977312" w:rsidP="00FF06E6">
            <w:pPr>
              <w:spacing w:before="60" w:after="60"/>
              <w:jc w:val="center"/>
              <w:rPr>
                <w:b/>
                <w:szCs w:val="24"/>
                <w:u w:val="single"/>
              </w:rPr>
            </w:pPr>
            <w:r w:rsidRPr="00281428">
              <w:rPr>
                <w:b/>
                <w:szCs w:val="24"/>
                <w:u w:val="single"/>
              </w:rPr>
              <w:t>6</w:t>
            </w:r>
          </w:p>
        </w:tc>
        <w:tc>
          <w:tcPr>
            <w:tcW w:w="1800" w:type="dxa"/>
            <w:shd w:val="clear" w:color="auto" w:fill="auto"/>
            <w:vAlign w:val="center"/>
          </w:tcPr>
          <w:p w14:paraId="55ACD8E4" w14:textId="0F9F08E3" w:rsidR="00977312" w:rsidRPr="00281428" w:rsidRDefault="00977312" w:rsidP="00FF06E6">
            <w:pPr>
              <w:spacing w:before="60" w:after="60"/>
              <w:jc w:val="center"/>
              <w:rPr>
                <w:b/>
                <w:szCs w:val="24"/>
                <w:u w:val="single"/>
              </w:rPr>
            </w:pPr>
            <w:r w:rsidRPr="00281428">
              <w:rPr>
                <w:b/>
                <w:szCs w:val="24"/>
                <w:u w:val="single"/>
              </w:rPr>
              <w:t>30 g</w:t>
            </w:r>
            <w:r w:rsidR="00A22460" w:rsidRPr="00281428">
              <w:rPr>
                <w:b/>
                <w:szCs w:val="24"/>
                <w:u w:val="single"/>
              </w:rPr>
              <w:t xml:space="preserve"> (1.06 oz)</w:t>
            </w:r>
          </w:p>
        </w:tc>
        <w:tc>
          <w:tcPr>
            <w:tcW w:w="2340" w:type="dxa"/>
            <w:shd w:val="clear" w:color="auto" w:fill="auto"/>
            <w:vAlign w:val="center"/>
          </w:tcPr>
          <w:p w14:paraId="27130963" w14:textId="0901ACAE" w:rsidR="00977312" w:rsidRPr="00281428" w:rsidRDefault="00977312" w:rsidP="00FF06E6">
            <w:pPr>
              <w:spacing w:before="60" w:after="60"/>
              <w:jc w:val="center"/>
              <w:rPr>
                <w:b/>
                <w:szCs w:val="24"/>
                <w:u w:val="single"/>
              </w:rPr>
            </w:pPr>
            <w:r w:rsidRPr="00281428">
              <w:rPr>
                <w:b/>
                <w:szCs w:val="24"/>
                <w:u w:val="single"/>
              </w:rPr>
              <w:t>10 % of labeled quantity</w:t>
            </w:r>
          </w:p>
        </w:tc>
        <w:tc>
          <w:tcPr>
            <w:tcW w:w="2705" w:type="dxa"/>
            <w:shd w:val="clear" w:color="auto" w:fill="auto"/>
            <w:vAlign w:val="center"/>
          </w:tcPr>
          <w:p w14:paraId="4E816AC9" w14:textId="77777777" w:rsidR="00977312" w:rsidRPr="00281428" w:rsidRDefault="00977312" w:rsidP="00B379CC">
            <w:pPr>
              <w:spacing w:before="60" w:after="60"/>
              <w:jc w:val="center"/>
              <w:rPr>
                <w:b/>
                <w:szCs w:val="24"/>
                <w:u w:val="single"/>
              </w:rPr>
            </w:pPr>
            <w:r w:rsidRPr="00281428">
              <w:rPr>
                <w:b/>
                <w:szCs w:val="24"/>
                <w:u w:val="single"/>
              </w:rPr>
              <w:t>6 × (0.1 × 30) = 18 g</w:t>
            </w:r>
          </w:p>
          <w:p w14:paraId="0686D6F9" w14:textId="0706530C" w:rsidR="00A22460" w:rsidRPr="00281428" w:rsidRDefault="00A22460" w:rsidP="00FF06E6">
            <w:pPr>
              <w:spacing w:before="60" w:after="60"/>
              <w:jc w:val="center"/>
              <w:rPr>
                <w:b/>
                <w:szCs w:val="24"/>
                <w:u w:val="single"/>
              </w:rPr>
            </w:pPr>
            <w:r w:rsidRPr="00281428">
              <w:rPr>
                <w:b/>
                <w:szCs w:val="24"/>
                <w:u w:val="single"/>
              </w:rPr>
              <w:t xml:space="preserve">6 × (0.1 × 1.06 oz) = 0.636 oz </w:t>
            </w:r>
          </w:p>
        </w:tc>
      </w:tr>
      <w:tr w:rsidR="00CD4DDF" w:rsidRPr="00281428" w14:paraId="3B38E9BF" w14:textId="77777777" w:rsidTr="00FF06E6">
        <w:trPr>
          <w:jc w:val="center"/>
        </w:trPr>
        <w:tc>
          <w:tcPr>
            <w:tcW w:w="1525" w:type="dxa"/>
            <w:shd w:val="clear" w:color="auto" w:fill="auto"/>
            <w:vAlign w:val="center"/>
          </w:tcPr>
          <w:p w14:paraId="7401561B" w14:textId="77777777" w:rsidR="00977312" w:rsidRPr="00281428" w:rsidRDefault="00977312" w:rsidP="00FF06E6">
            <w:pPr>
              <w:spacing w:before="60" w:after="60"/>
              <w:jc w:val="center"/>
              <w:rPr>
                <w:b/>
                <w:szCs w:val="20"/>
                <w:u w:val="single"/>
              </w:rPr>
            </w:pPr>
            <w:r w:rsidRPr="00281428">
              <w:rPr>
                <w:b/>
                <w:szCs w:val="20"/>
                <w:u w:val="single"/>
              </w:rPr>
              <w:lastRenderedPageBreak/>
              <w:t>Milk Chocolate Bars</w:t>
            </w:r>
          </w:p>
        </w:tc>
        <w:tc>
          <w:tcPr>
            <w:tcW w:w="1170" w:type="dxa"/>
            <w:shd w:val="clear" w:color="auto" w:fill="auto"/>
            <w:vAlign w:val="center"/>
          </w:tcPr>
          <w:p w14:paraId="7251418B" w14:textId="77777777" w:rsidR="00977312" w:rsidRPr="00281428" w:rsidRDefault="00977312" w:rsidP="00FF06E6">
            <w:pPr>
              <w:spacing w:before="60" w:after="60"/>
              <w:jc w:val="center"/>
              <w:rPr>
                <w:b/>
                <w:szCs w:val="24"/>
                <w:u w:val="single"/>
              </w:rPr>
            </w:pPr>
            <w:r w:rsidRPr="00281428">
              <w:rPr>
                <w:b/>
                <w:szCs w:val="24"/>
                <w:u w:val="single"/>
              </w:rPr>
              <w:t>8</w:t>
            </w:r>
          </w:p>
        </w:tc>
        <w:tc>
          <w:tcPr>
            <w:tcW w:w="1800" w:type="dxa"/>
            <w:shd w:val="clear" w:color="auto" w:fill="auto"/>
            <w:vAlign w:val="center"/>
          </w:tcPr>
          <w:p w14:paraId="7CBBAC67" w14:textId="0A626407" w:rsidR="00977312" w:rsidRPr="00281428" w:rsidRDefault="00977312" w:rsidP="00FF06E6">
            <w:pPr>
              <w:spacing w:before="60" w:after="60"/>
              <w:jc w:val="center"/>
              <w:rPr>
                <w:b/>
                <w:szCs w:val="24"/>
                <w:u w:val="single"/>
              </w:rPr>
            </w:pPr>
            <w:r w:rsidRPr="00281428">
              <w:rPr>
                <w:b/>
                <w:szCs w:val="24"/>
                <w:u w:val="single"/>
              </w:rPr>
              <w:t>41 g</w:t>
            </w:r>
            <w:r w:rsidR="00A22460" w:rsidRPr="00281428">
              <w:rPr>
                <w:b/>
                <w:szCs w:val="24"/>
                <w:u w:val="single"/>
              </w:rPr>
              <w:t xml:space="preserve"> (1.45 oz)</w:t>
            </w:r>
          </w:p>
        </w:tc>
        <w:tc>
          <w:tcPr>
            <w:tcW w:w="2340" w:type="dxa"/>
            <w:shd w:val="clear" w:color="auto" w:fill="auto"/>
            <w:vAlign w:val="center"/>
          </w:tcPr>
          <w:p w14:paraId="006CCFCD" w14:textId="1FF3791D" w:rsidR="00977312" w:rsidRPr="00281428" w:rsidRDefault="00977312" w:rsidP="00FF06E6">
            <w:pPr>
              <w:spacing w:before="60" w:after="60"/>
              <w:jc w:val="center"/>
              <w:rPr>
                <w:b/>
                <w:szCs w:val="24"/>
                <w:u w:val="single"/>
              </w:rPr>
            </w:pPr>
            <w:r w:rsidRPr="00281428">
              <w:rPr>
                <w:b/>
                <w:szCs w:val="24"/>
                <w:u w:val="single"/>
              </w:rPr>
              <w:t>3.6 g</w:t>
            </w:r>
            <w:r w:rsidR="00A22460" w:rsidRPr="00281428">
              <w:rPr>
                <w:b/>
                <w:szCs w:val="24"/>
                <w:u w:val="single"/>
              </w:rPr>
              <w:t xml:space="preserve"> (0.125 oz)</w:t>
            </w:r>
          </w:p>
        </w:tc>
        <w:tc>
          <w:tcPr>
            <w:tcW w:w="2705" w:type="dxa"/>
            <w:shd w:val="clear" w:color="auto" w:fill="auto"/>
            <w:vAlign w:val="center"/>
          </w:tcPr>
          <w:p w14:paraId="2271A9B5" w14:textId="77777777" w:rsidR="00977312" w:rsidRPr="00281428" w:rsidRDefault="00977312" w:rsidP="00B379CC">
            <w:pPr>
              <w:spacing w:before="60" w:after="60"/>
              <w:jc w:val="center"/>
              <w:rPr>
                <w:b/>
                <w:szCs w:val="24"/>
                <w:u w:val="single"/>
              </w:rPr>
            </w:pPr>
            <w:r w:rsidRPr="00281428">
              <w:rPr>
                <w:b/>
                <w:szCs w:val="24"/>
                <w:u w:val="single"/>
              </w:rPr>
              <w:t>8 × 3.6 = 28.8 g</w:t>
            </w:r>
          </w:p>
          <w:p w14:paraId="1FEF5267" w14:textId="37A3DDD8" w:rsidR="00A22460" w:rsidRPr="00281428" w:rsidRDefault="00A22460" w:rsidP="00FF06E6">
            <w:pPr>
              <w:spacing w:before="60" w:after="60"/>
              <w:jc w:val="center"/>
              <w:rPr>
                <w:b/>
                <w:szCs w:val="24"/>
                <w:u w:val="single"/>
              </w:rPr>
            </w:pPr>
            <w:r w:rsidRPr="00281428">
              <w:rPr>
                <w:b/>
                <w:szCs w:val="24"/>
                <w:u w:val="single"/>
              </w:rPr>
              <w:t>(8 × 0.12 oz = 1 oz)</w:t>
            </w:r>
          </w:p>
        </w:tc>
      </w:tr>
      <w:tr w:rsidR="00CD4DDF" w:rsidRPr="00281428" w14:paraId="1C3C88D4" w14:textId="77777777" w:rsidTr="00FF06E6">
        <w:trPr>
          <w:jc w:val="center"/>
        </w:trPr>
        <w:tc>
          <w:tcPr>
            <w:tcW w:w="1525" w:type="dxa"/>
            <w:shd w:val="clear" w:color="auto" w:fill="auto"/>
            <w:vAlign w:val="center"/>
          </w:tcPr>
          <w:p w14:paraId="7CB93E43" w14:textId="77777777" w:rsidR="00977312" w:rsidRPr="00281428" w:rsidRDefault="00977312" w:rsidP="00FF06E6">
            <w:pPr>
              <w:spacing w:before="60" w:after="60"/>
              <w:jc w:val="center"/>
              <w:rPr>
                <w:b/>
                <w:szCs w:val="20"/>
                <w:u w:val="single"/>
              </w:rPr>
            </w:pPr>
            <w:r w:rsidRPr="00281428">
              <w:rPr>
                <w:b/>
                <w:szCs w:val="20"/>
                <w:u w:val="single"/>
              </w:rPr>
              <w:t>Milk Chocolate Bars with Almonds</w:t>
            </w:r>
          </w:p>
        </w:tc>
        <w:tc>
          <w:tcPr>
            <w:tcW w:w="1170" w:type="dxa"/>
            <w:shd w:val="clear" w:color="auto" w:fill="auto"/>
            <w:vAlign w:val="center"/>
          </w:tcPr>
          <w:p w14:paraId="69969B8E" w14:textId="77777777" w:rsidR="00977312" w:rsidRPr="00281428" w:rsidRDefault="00977312" w:rsidP="00FF06E6">
            <w:pPr>
              <w:spacing w:before="60" w:after="60"/>
              <w:jc w:val="center"/>
              <w:rPr>
                <w:b/>
                <w:szCs w:val="24"/>
                <w:u w:val="single"/>
              </w:rPr>
            </w:pPr>
            <w:r w:rsidRPr="00281428">
              <w:rPr>
                <w:b/>
                <w:szCs w:val="24"/>
                <w:u w:val="single"/>
              </w:rPr>
              <w:t>6</w:t>
            </w:r>
          </w:p>
        </w:tc>
        <w:tc>
          <w:tcPr>
            <w:tcW w:w="1800" w:type="dxa"/>
            <w:shd w:val="clear" w:color="auto" w:fill="auto"/>
            <w:vAlign w:val="center"/>
          </w:tcPr>
          <w:p w14:paraId="7F03DC06" w14:textId="77712634" w:rsidR="00977312" w:rsidRPr="00281428" w:rsidRDefault="00977312" w:rsidP="00FF06E6">
            <w:pPr>
              <w:spacing w:before="60" w:after="60"/>
              <w:jc w:val="center"/>
              <w:rPr>
                <w:b/>
                <w:szCs w:val="24"/>
                <w:u w:val="single"/>
              </w:rPr>
            </w:pPr>
            <w:r w:rsidRPr="00281428">
              <w:rPr>
                <w:b/>
                <w:szCs w:val="24"/>
                <w:u w:val="single"/>
              </w:rPr>
              <w:t>46 g</w:t>
            </w:r>
            <w:r w:rsidR="00A22460" w:rsidRPr="00281428">
              <w:rPr>
                <w:b/>
                <w:szCs w:val="24"/>
                <w:u w:val="single"/>
              </w:rPr>
              <w:t xml:space="preserve"> (1.62 oz)</w:t>
            </w:r>
          </w:p>
        </w:tc>
        <w:tc>
          <w:tcPr>
            <w:tcW w:w="2340" w:type="dxa"/>
            <w:shd w:val="clear" w:color="auto" w:fill="auto"/>
            <w:vAlign w:val="center"/>
          </w:tcPr>
          <w:p w14:paraId="051DD8D8" w14:textId="47467709" w:rsidR="00977312" w:rsidRPr="00281428" w:rsidRDefault="00977312" w:rsidP="00FF06E6">
            <w:pPr>
              <w:spacing w:before="60" w:after="60"/>
              <w:jc w:val="center"/>
              <w:rPr>
                <w:b/>
                <w:szCs w:val="24"/>
                <w:u w:val="single"/>
              </w:rPr>
            </w:pPr>
            <w:r w:rsidRPr="00281428">
              <w:rPr>
                <w:b/>
                <w:szCs w:val="24"/>
                <w:u w:val="single"/>
              </w:rPr>
              <w:t>3.6 g</w:t>
            </w:r>
            <w:r w:rsidR="00A22460" w:rsidRPr="00281428">
              <w:rPr>
                <w:b/>
                <w:szCs w:val="24"/>
                <w:u w:val="single"/>
              </w:rPr>
              <w:t xml:space="preserve"> (0.125 oz)</w:t>
            </w:r>
          </w:p>
        </w:tc>
        <w:tc>
          <w:tcPr>
            <w:tcW w:w="2705" w:type="dxa"/>
            <w:shd w:val="clear" w:color="auto" w:fill="auto"/>
            <w:vAlign w:val="center"/>
          </w:tcPr>
          <w:p w14:paraId="21A87FCE" w14:textId="77777777" w:rsidR="00977312" w:rsidRPr="00281428" w:rsidRDefault="00977312" w:rsidP="00B379CC">
            <w:pPr>
              <w:spacing w:before="60" w:after="60"/>
              <w:jc w:val="center"/>
              <w:rPr>
                <w:b/>
                <w:szCs w:val="24"/>
                <w:u w:val="single"/>
              </w:rPr>
            </w:pPr>
            <w:r w:rsidRPr="00281428">
              <w:rPr>
                <w:b/>
                <w:szCs w:val="24"/>
                <w:u w:val="single"/>
              </w:rPr>
              <w:t>6 × 3.6 = 21.6 g</w:t>
            </w:r>
          </w:p>
          <w:p w14:paraId="6EFA87E7" w14:textId="685D4322" w:rsidR="00A22460" w:rsidRPr="00281428" w:rsidRDefault="00A158F5" w:rsidP="00FF06E6">
            <w:pPr>
              <w:spacing w:before="60" w:after="60"/>
              <w:jc w:val="center"/>
              <w:rPr>
                <w:b/>
                <w:szCs w:val="24"/>
                <w:u w:val="single"/>
              </w:rPr>
            </w:pPr>
            <w:r w:rsidRPr="00281428">
              <w:rPr>
                <w:b/>
                <w:szCs w:val="24"/>
                <w:u w:val="single"/>
              </w:rPr>
              <w:t>(</w:t>
            </w:r>
            <w:r w:rsidR="00A22460" w:rsidRPr="00281428">
              <w:rPr>
                <w:b/>
                <w:szCs w:val="24"/>
                <w:u w:val="single"/>
              </w:rPr>
              <w:t>6 × 0.125 oz = 0.75 oz)</w:t>
            </w:r>
          </w:p>
        </w:tc>
      </w:tr>
      <w:tr w:rsidR="00DF5427" w:rsidRPr="00281428" w14:paraId="087B420C" w14:textId="77777777" w:rsidTr="00FF06E6">
        <w:trPr>
          <w:jc w:val="center"/>
        </w:trPr>
        <w:tc>
          <w:tcPr>
            <w:tcW w:w="4495" w:type="dxa"/>
            <w:gridSpan w:val="3"/>
            <w:shd w:val="clear" w:color="auto" w:fill="D9D9D9" w:themeFill="background1" w:themeFillShade="D9"/>
          </w:tcPr>
          <w:p w14:paraId="7F931782" w14:textId="59A9C293" w:rsidR="00DF5427" w:rsidRPr="00281428" w:rsidRDefault="00DF5427" w:rsidP="00FF06E6">
            <w:pPr>
              <w:spacing w:before="60" w:after="120"/>
              <w:ind w:left="3580" w:hanging="3420"/>
              <w:jc w:val="left"/>
              <w:rPr>
                <w:b/>
                <w:szCs w:val="24"/>
                <w:u w:val="single"/>
              </w:rPr>
            </w:pPr>
          </w:p>
        </w:tc>
        <w:tc>
          <w:tcPr>
            <w:tcW w:w="2340" w:type="dxa"/>
            <w:shd w:val="clear" w:color="auto" w:fill="auto"/>
            <w:vAlign w:val="center"/>
          </w:tcPr>
          <w:p w14:paraId="6AE5F256" w14:textId="666FD2A6" w:rsidR="00DF5427" w:rsidRPr="00281428" w:rsidRDefault="00DF5427" w:rsidP="00FF06E6">
            <w:pPr>
              <w:spacing w:before="60" w:after="120"/>
              <w:ind w:left="3580" w:hanging="3420"/>
              <w:jc w:val="left"/>
              <w:rPr>
                <w:b/>
                <w:szCs w:val="24"/>
                <w:u w:val="single"/>
              </w:rPr>
            </w:pPr>
            <w:r w:rsidRPr="00281428">
              <w:rPr>
                <w:b/>
                <w:szCs w:val="24"/>
                <w:u w:val="single"/>
              </w:rPr>
              <w:t>Total Quantity MAV</w:t>
            </w:r>
          </w:p>
        </w:tc>
        <w:tc>
          <w:tcPr>
            <w:tcW w:w="2705" w:type="dxa"/>
            <w:shd w:val="clear" w:color="auto" w:fill="auto"/>
            <w:vAlign w:val="center"/>
          </w:tcPr>
          <w:p w14:paraId="4ECEF838" w14:textId="77777777" w:rsidR="00DF5427" w:rsidRPr="00281428" w:rsidRDefault="00DF5427" w:rsidP="00FF06E6">
            <w:pPr>
              <w:spacing w:before="60" w:after="60"/>
              <w:jc w:val="center"/>
              <w:rPr>
                <w:b/>
                <w:szCs w:val="24"/>
                <w:u w:val="single"/>
              </w:rPr>
            </w:pPr>
            <w:r w:rsidRPr="00281428">
              <w:rPr>
                <w:b/>
                <w:szCs w:val="24"/>
                <w:u w:val="single"/>
              </w:rPr>
              <w:t>122.4 g</w:t>
            </w:r>
          </w:p>
          <w:p w14:paraId="128EB9D1" w14:textId="1B47B776" w:rsidR="00A22460" w:rsidRPr="00281428" w:rsidRDefault="00A22460" w:rsidP="00FF06E6">
            <w:pPr>
              <w:spacing w:before="60" w:after="120"/>
              <w:jc w:val="center"/>
              <w:rPr>
                <w:b/>
                <w:szCs w:val="24"/>
                <w:u w:val="single"/>
              </w:rPr>
            </w:pPr>
            <w:r w:rsidRPr="00281428">
              <w:rPr>
                <w:b/>
                <w:szCs w:val="24"/>
                <w:u w:val="single"/>
              </w:rPr>
              <w:t>(4.261 oz) (0.27 LB)</w:t>
            </w:r>
          </w:p>
        </w:tc>
      </w:tr>
    </w:tbl>
    <w:p w14:paraId="7BA185E5" w14:textId="22D9C2D6" w:rsidR="000A6363" w:rsidRPr="00281428" w:rsidRDefault="00853A8D" w:rsidP="000803DF">
      <w:pPr>
        <w:spacing w:after="0"/>
        <w:rPr>
          <w:b/>
        </w:rPr>
      </w:pPr>
      <w:r w:rsidRPr="00281428">
        <w:rPr>
          <w:b/>
        </w:rPr>
        <w:t>(Added 20XX)</w:t>
      </w:r>
    </w:p>
    <w:p w14:paraId="2A0DE03B" w14:textId="6EE92759" w:rsidR="000530E4" w:rsidRPr="00281428" w:rsidRDefault="000530E4" w:rsidP="008F3950">
      <w:pPr>
        <w:pStyle w:val="ItemHeading"/>
        <w:tabs>
          <w:tab w:val="clear" w:pos="900"/>
          <w:tab w:val="left" w:pos="2160"/>
        </w:tabs>
        <w:ind w:left="1800" w:hanging="1800"/>
      </w:pPr>
      <w:bookmarkStart w:id="58" w:name="_Toc65741435"/>
      <w:r w:rsidRPr="00281428">
        <w:t>B1: NET-</w:t>
      </w:r>
      <w:r w:rsidR="00B62BC5" w:rsidRPr="00281428">
        <w:t>19.</w:t>
      </w:r>
      <w:r w:rsidR="00B841BE" w:rsidRPr="00281428">
        <w:t>4</w:t>
      </w:r>
      <w:r w:rsidR="00B62BC5" w:rsidRPr="00281428">
        <w:tab/>
      </w:r>
      <w:r w:rsidR="00BB08FF" w:rsidRPr="00281428">
        <w:t>I</w:t>
      </w:r>
      <w:r w:rsidRPr="00281428">
        <w:tab/>
        <w:t>Appendix F. Glossary</w:t>
      </w:r>
      <w:bookmarkEnd w:id="58"/>
    </w:p>
    <w:p w14:paraId="716000F0" w14:textId="77777777" w:rsidR="000530E4" w:rsidRPr="00281428" w:rsidRDefault="000530E4" w:rsidP="000803DF">
      <w:pPr>
        <w:spacing w:after="0"/>
        <w:rPr>
          <w:b/>
        </w:rPr>
      </w:pPr>
      <w:r w:rsidRPr="00281428">
        <w:rPr>
          <w:b/>
        </w:rPr>
        <w:t>Purpose:</w:t>
      </w:r>
    </w:p>
    <w:p w14:paraId="0B10D84C" w14:textId="4CB452E6" w:rsidR="000530E4" w:rsidRPr="00281428" w:rsidRDefault="000530E4" w:rsidP="000803DF">
      <w:pPr>
        <w:rPr>
          <w:b/>
        </w:rPr>
      </w:pPr>
      <w:r w:rsidRPr="00281428">
        <w:rPr>
          <w:szCs w:val="20"/>
        </w:rPr>
        <w:t xml:space="preserve">This will add definitions for </w:t>
      </w:r>
      <w:r w:rsidR="000946F4" w:rsidRPr="00281428">
        <w:rPr>
          <w:szCs w:val="20"/>
        </w:rPr>
        <w:t xml:space="preserve">multiunit, variety and total quantity MAV </w:t>
      </w:r>
      <w:r w:rsidRPr="00281428">
        <w:rPr>
          <w:szCs w:val="20"/>
        </w:rPr>
        <w:t>into Handbook 133</w:t>
      </w:r>
      <w:r w:rsidR="006C79C3">
        <w:rPr>
          <w:szCs w:val="20"/>
        </w:rPr>
        <w:t>,</w:t>
      </w:r>
      <w:r w:rsidR="000946F4" w:rsidRPr="00281428">
        <w:rPr>
          <w:szCs w:val="20"/>
        </w:rPr>
        <w:t xml:space="preserve"> Appendix F. </w:t>
      </w:r>
    </w:p>
    <w:p w14:paraId="20469EAC" w14:textId="77777777" w:rsidR="000530E4" w:rsidRPr="00281428" w:rsidRDefault="000530E4" w:rsidP="000803DF">
      <w:pPr>
        <w:pStyle w:val="I-Normal1indent"/>
        <w:spacing w:after="0"/>
        <w:ind w:left="0"/>
        <w:rPr>
          <w:b/>
          <w:szCs w:val="20"/>
        </w:rPr>
      </w:pPr>
      <w:r w:rsidRPr="00281428">
        <w:rPr>
          <w:b/>
          <w:szCs w:val="20"/>
        </w:rPr>
        <w:t>Item Under Consideration:</w:t>
      </w:r>
    </w:p>
    <w:p w14:paraId="5041F5C3" w14:textId="3CDD1540" w:rsidR="000530E4" w:rsidRPr="00281428" w:rsidRDefault="000530E4" w:rsidP="0046267A">
      <w:pPr>
        <w:spacing w:after="200"/>
      </w:pPr>
      <w:r w:rsidRPr="00281428">
        <w:t>Amend Handbook 133, Appendix F as follows:</w:t>
      </w:r>
    </w:p>
    <w:p w14:paraId="5080E201" w14:textId="77777777" w:rsidR="000530E4" w:rsidRPr="00281428" w:rsidRDefault="000530E4" w:rsidP="000803DF">
      <w:pPr>
        <w:spacing w:after="320"/>
        <w:ind w:left="288"/>
        <w:rPr>
          <w:b/>
          <w:szCs w:val="24"/>
          <w:u w:val="single"/>
        </w:rPr>
      </w:pPr>
      <w:r w:rsidRPr="00281428">
        <w:rPr>
          <w:b/>
          <w:szCs w:val="24"/>
          <w:u w:val="single"/>
        </w:rPr>
        <w:t>Multiunit Package. -  A package containing two or more individual packages of the identical commodity, in the same quantity, intended to be sold as a multiunit package</w:t>
      </w:r>
    </w:p>
    <w:p w14:paraId="7B6B3386" w14:textId="2C34E5FD" w:rsidR="000530E4" w:rsidRPr="00281428" w:rsidRDefault="000530E4" w:rsidP="000803DF">
      <w:pPr>
        <w:spacing w:after="320"/>
        <w:ind w:left="288"/>
        <w:rPr>
          <w:b/>
          <w:szCs w:val="20"/>
          <w:u w:val="single"/>
        </w:rPr>
      </w:pPr>
      <w:r w:rsidRPr="00281428">
        <w:rPr>
          <w:b/>
          <w:szCs w:val="20"/>
          <w:u w:val="single"/>
        </w:rPr>
        <w:t xml:space="preserve">Variety Package. – A package intended for retail sale, containing two or more individual packages or units of similar, but not identical, commodities.  Commodities that are generically </w:t>
      </w:r>
      <w:r w:rsidR="002F3741" w:rsidRPr="00281428">
        <w:rPr>
          <w:b/>
          <w:szCs w:val="20"/>
          <w:u w:val="single"/>
        </w:rPr>
        <w:t>alike</w:t>
      </w:r>
      <w:r w:rsidRPr="00281428">
        <w:rPr>
          <w:b/>
          <w:szCs w:val="20"/>
          <w:u w:val="single"/>
        </w:rPr>
        <w:t xml:space="preserve">, but that differ in weight, measure, volume, </w:t>
      </w:r>
      <w:r w:rsidR="002F3741" w:rsidRPr="00281428">
        <w:rPr>
          <w:b/>
          <w:szCs w:val="20"/>
          <w:u w:val="single"/>
        </w:rPr>
        <w:t>or style variation (</w:t>
      </w:r>
      <w:proofErr w:type="gramStart"/>
      <w:r w:rsidR="002F3741" w:rsidRPr="00281428">
        <w:rPr>
          <w:b/>
          <w:szCs w:val="20"/>
          <w:u w:val="single"/>
        </w:rPr>
        <w:t>e.g.</w:t>
      </w:r>
      <w:proofErr w:type="gramEnd"/>
      <w:r w:rsidR="002F3741" w:rsidRPr="00281428">
        <w:rPr>
          <w:b/>
          <w:szCs w:val="20"/>
          <w:u w:val="single"/>
        </w:rPr>
        <w:t xml:space="preserve"> color, flavor, scent, etc.)</w:t>
      </w:r>
      <w:r w:rsidRPr="00281428">
        <w:rPr>
          <w:b/>
          <w:szCs w:val="20"/>
          <w:u w:val="single"/>
        </w:rPr>
        <w:t xml:space="preserve"> are considered similar, but not identical.</w:t>
      </w:r>
    </w:p>
    <w:p w14:paraId="5AA4A2D9" w14:textId="6048365F" w:rsidR="000530E4" w:rsidRPr="00281428" w:rsidRDefault="000530E4" w:rsidP="000803DF">
      <w:pPr>
        <w:ind w:left="288"/>
        <w:rPr>
          <w:b/>
          <w:szCs w:val="24"/>
          <w:u w:val="single"/>
        </w:rPr>
      </w:pPr>
      <w:r w:rsidRPr="00281428">
        <w:rPr>
          <w:b/>
          <w:szCs w:val="24"/>
          <w:u w:val="single"/>
        </w:rPr>
        <w:t>Total Quantity MAV</w:t>
      </w:r>
      <w:bookmarkStart w:id="59" w:name="_Hlk523115453"/>
      <w:r w:rsidRPr="00281428">
        <w:rPr>
          <w:b/>
          <w:szCs w:val="24"/>
          <w:u w:val="single"/>
        </w:rPr>
        <w:t>. –</w:t>
      </w:r>
      <w:bookmarkEnd w:id="59"/>
      <w:r w:rsidRPr="00281428">
        <w:rPr>
          <w:b/>
          <w:szCs w:val="24"/>
          <w:u w:val="single"/>
        </w:rPr>
        <w:t xml:space="preserve">  A calculated value used to determine if </w:t>
      </w:r>
      <w:r w:rsidR="002F3741" w:rsidRPr="00281428">
        <w:rPr>
          <w:b/>
          <w:szCs w:val="24"/>
          <w:u w:val="single"/>
        </w:rPr>
        <w:t>any</w:t>
      </w:r>
      <w:r w:rsidRPr="00281428">
        <w:rPr>
          <w:b/>
          <w:szCs w:val="24"/>
          <w:u w:val="single"/>
        </w:rPr>
        <w:t xml:space="preserve"> minus Total Quantity Package Error found in </w:t>
      </w:r>
      <w:r w:rsidR="002F3741" w:rsidRPr="00281428">
        <w:rPr>
          <w:b/>
          <w:szCs w:val="24"/>
          <w:u w:val="single"/>
        </w:rPr>
        <w:t xml:space="preserve">a </w:t>
      </w:r>
      <w:r w:rsidRPr="00281428">
        <w:rPr>
          <w:b/>
          <w:szCs w:val="24"/>
          <w:u w:val="single"/>
        </w:rPr>
        <w:t xml:space="preserve">multiunit </w:t>
      </w:r>
      <w:r w:rsidR="002F3741" w:rsidRPr="00281428">
        <w:rPr>
          <w:b/>
          <w:szCs w:val="24"/>
          <w:u w:val="single"/>
        </w:rPr>
        <w:t>or</w:t>
      </w:r>
      <w:r w:rsidRPr="00281428">
        <w:rPr>
          <w:b/>
          <w:szCs w:val="24"/>
          <w:u w:val="single"/>
        </w:rPr>
        <w:t xml:space="preserve"> variety packages are unreasonable.  A Total Quantity MAV is based on the declared quantity and count of the individual inner packages.  It is determined by </w:t>
      </w:r>
      <w:r w:rsidR="002F3741" w:rsidRPr="00281428">
        <w:rPr>
          <w:b/>
          <w:szCs w:val="24"/>
          <w:u w:val="single"/>
        </w:rPr>
        <w:t xml:space="preserve">obtaining the applicable </w:t>
      </w:r>
      <w:r w:rsidRPr="00281428">
        <w:rPr>
          <w:b/>
          <w:szCs w:val="24"/>
          <w:u w:val="single"/>
        </w:rPr>
        <w:t xml:space="preserve">MAV for </w:t>
      </w:r>
      <w:r w:rsidR="00EB72B6" w:rsidRPr="00281428">
        <w:rPr>
          <w:b/>
          <w:szCs w:val="24"/>
          <w:u w:val="single"/>
        </w:rPr>
        <w:t xml:space="preserve">each </w:t>
      </w:r>
      <w:r w:rsidRPr="00281428">
        <w:rPr>
          <w:b/>
          <w:szCs w:val="24"/>
          <w:u w:val="single"/>
        </w:rPr>
        <w:t xml:space="preserve">individual inner package quantity </w:t>
      </w:r>
      <w:r w:rsidR="002F3741" w:rsidRPr="00281428">
        <w:rPr>
          <w:b/>
          <w:szCs w:val="24"/>
          <w:u w:val="single"/>
        </w:rPr>
        <w:t>from</w:t>
      </w:r>
      <w:r w:rsidR="00EB72B6" w:rsidRPr="00281428">
        <w:rPr>
          <w:b/>
          <w:szCs w:val="24"/>
          <w:u w:val="single"/>
        </w:rPr>
        <w:t xml:space="preserve"> the </w:t>
      </w:r>
      <w:r w:rsidRPr="00281428">
        <w:rPr>
          <w:b/>
          <w:szCs w:val="24"/>
          <w:u w:val="single"/>
        </w:rPr>
        <w:t xml:space="preserve">appropriate </w:t>
      </w:r>
      <w:r w:rsidR="002F3741" w:rsidRPr="00281428">
        <w:rPr>
          <w:b/>
          <w:szCs w:val="24"/>
          <w:u w:val="single"/>
        </w:rPr>
        <w:t xml:space="preserve">Mav table (refer to </w:t>
      </w:r>
      <w:r w:rsidR="00EB72B6" w:rsidRPr="00281428">
        <w:rPr>
          <w:b/>
          <w:szCs w:val="24"/>
          <w:u w:val="single"/>
        </w:rPr>
        <w:t>Appendix A. “Tables”</w:t>
      </w:r>
      <w:r w:rsidRPr="00281428">
        <w:rPr>
          <w:b/>
          <w:szCs w:val="24"/>
          <w:u w:val="single"/>
        </w:rPr>
        <w:t xml:space="preserve"> and then calculating the “Total Quantity MAV” as follows: </w:t>
      </w:r>
    </w:p>
    <w:p w14:paraId="790852BE" w14:textId="3DA63BFB" w:rsidR="000530E4" w:rsidRPr="00281428" w:rsidRDefault="00EB72B6" w:rsidP="00213F8F">
      <w:pPr>
        <w:pStyle w:val="ListParagraph"/>
        <w:numPr>
          <w:ilvl w:val="0"/>
          <w:numId w:val="39"/>
        </w:numPr>
        <w:tabs>
          <w:tab w:val="left" w:pos="900"/>
        </w:tabs>
        <w:ind w:left="540" w:firstLine="0"/>
        <w:rPr>
          <w:b/>
          <w:i/>
          <w:szCs w:val="24"/>
          <w:u w:val="single"/>
        </w:rPr>
      </w:pPr>
      <w:r w:rsidRPr="00281428">
        <w:rPr>
          <w:b/>
          <w:szCs w:val="24"/>
          <w:u w:val="single"/>
        </w:rPr>
        <w:t xml:space="preserve">Multiunit Package:  </w:t>
      </w:r>
      <w:r w:rsidR="000530E4" w:rsidRPr="00281428">
        <w:rPr>
          <w:b/>
          <w:i/>
          <w:szCs w:val="24"/>
          <w:u w:val="single"/>
        </w:rPr>
        <w:t xml:space="preserve">Total Quantity MAV = Number of Individual Inner Packages × MAV for </w:t>
      </w:r>
      <w:r w:rsidRPr="00281428">
        <w:rPr>
          <w:bCs/>
          <w:iCs/>
          <w:szCs w:val="24"/>
        </w:rPr>
        <w:tab/>
      </w:r>
      <w:r w:rsidR="000530E4" w:rsidRPr="00281428">
        <w:rPr>
          <w:b/>
          <w:i/>
          <w:szCs w:val="24"/>
          <w:u w:val="single"/>
        </w:rPr>
        <w:t>Individual Inner Package Quantity</w:t>
      </w:r>
    </w:p>
    <w:p w14:paraId="4F5B4326" w14:textId="45BC1969" w:rsidR="000530E4" w:rsidRPr="00281428" w:rsidRDefault="00EB72B6" w:rsidP="00213F8F">
      <w:pPr>
        <w:pStyle w:val="ListParagraph"/>
        <w:numPr>
          <w:ilvl w:val="0"/>
          <w:numId w:val="39"/>
        </w:numPr>
        <w:tabs>
          <w:tab w:val="left" w:pos="900"/>
        </w:tabs>
        <w:ind w:left="540" w:firstLine="0"/>
        <w:rPr>
          <w:b/>
          <w:i/>
          <w:iCs/>
          <w:szCs w:val="24"/>
          <w:u w:val="single"/>
        </w:rPr>
      </w:pPr>
      <w:r w:rsidRPr="00281428">
        <w:rPr>
          <w:b/>
          <w:iCs/>
          <w:szCs w:val="24"/>
          <w:u w:val="single"/>
        </w:rPr>
        <w:t xml:space="preserve">Variety Package:  </w:t>
      </w:r>
      <w:r w:rsidR="000530E4" w:rsidRPr="00281428">
        <w:rPr>
          <w:b/>
          <w:i/>
          <w:iCs/>
          <w:szCs w:val="24"/>
          <w:u w:val="single"/>
        </w:rPr>
        <w:t xml:space="preserve">Total Quantity MAV </w:t>
      </w:r>
      <w:r w:rsidR="002F3741" w:rsidRPr="00281428">
        <w:rPr>
          <w:b/>
          <w:i/>
          <w:iCs/>
          <w:szCs w:val="24"/>
          <w:u w:val="single"/>
        </w:rPr>
        <w:t xml:space="preserve">= The sum of the applicable MAVs for all Individual Inner </w:t>
      </w:r>
      <w:r w:rsidR="002F3741" w:rsidRPr="00281428">
        <w:rPr>
          <w:bCs/>
          <w:i/>
          <w:iCs/>
          <w:szCs w:val="24"/>
        </w:rPr>
        <w:tab/>
      </w:r>
      <w:r w:rsidR="002F3741" w:rsidRPr="00281428">
        <w:rPr>
          <w:b/>
          <w:i/>
          <w:iCs/>
          <w:szCs w:val="24"/>
          <w:u w:val="single"/>
        </w:rPr>
        <w:t>Packages.</w:t>
      </w:r>
    </w:p>
    <w:p w14:paraId="7B2BFA05" w14:textId="2A68025B" w:rsidR="000530E4" w:rsidRPr="00281428" w:rsidRDefault="000530E4" w:rsidP="00213F8F">
      <w:pPr>
        <w:ind w:left="540"/>
        <w:rPr>
          <w:b/>
          <w:szCs w:val="24"/>
          <w:u w:val="single"/>
        </w:rPr>
      </w:pPr>
      <w:r w:rsidRPr="00281428">
        <w:rPr>
          <w:b/>
          <w:szCs w:val="24"/>
          <w:u w:val="single"/>
        </w:rPr>
        <w:t xml:space="preserve">Note: </w:t>
      </w:r>
      <w:r w:rsidR="00853A8D" w:rsidRPr="00281428">
        <w:rPr>
          <w:b/>
          <w:szCs w:val="24"/>
          <w:u w:val="single"/>
        </w:rPr>
        <w:t xml:space="preserve"> </w:t>
      </w:r>
      <w:r w:rsidR="002868BE" w:rsidRPr="00281428">
        <w:rPr>
          <w:b/>
          <w:szCs w:val="24"/>
          <w:u w:val="single"/>
        </w:rPr>
        <w:t xml:space="preserve">A </w:t>
      </w:r>
      <w:r w:rsidRPr="00281428">
        <w:rPr>
          <w:b/>
          <w:szCs w:val="24"/>
          <w:u w:val="single"/>
        </w:rPr>
        <w:t xml:space="preserve">Total Quantity </w:t>
      </w:r>
      <w:r w:rsidR="002868BE" w:rsidRPr="00281428">
        <w:rPr>
          <w:b/>
          <w:szCs w:val="24"/>
          <w:u w:val="single"/>
        </w:rPr>
        <w:t>MAV is not used when the MAV applied is based on the percentage of the labeled quantity on a multiunit or variety package</w:t>
      </w:r>
      <w:r w:rsidRPr="00281428">
        <w:rPr>
          <w:b/>
          <w:szCs w:val="24"/>
          <w:u w:val="single"/>
        </w:rPr>
        <w:t xml:space="preserve"> </w:t>
      </w:r>
    </w:p>
    <w:p w14:paraId="5923764F" w14:textId="45236583" w:rsidR="000530E4" w:rsidRPr="00281428" w:rsidRDefault="002868BE" w:rsidP="00A96162">
      <w:pPr>
        <w:spacing w:before="100" w:beforeAutospacing="1"/>
        <w:ind w:left="360"/>
        <w:jc w:val="left"/>
        <w:rPr>
          <w:iCs/>
          <w:szCs w:val="24"/>
          <w:u w:val="single"/>
        </w:rPr>
      </w:pPr>
      <w:r w:rsidRPr="00281428">
        <w:rPr>
          <w:b/>
          <w:iCs/>
          <w:szCs w:val="24"/>
          <w:u w:val="single"/>
        </w:rPr>
        <w:t xml:space="preserve">Note:  </w:t>
      </w:r>
      <w:r w:rsidR="000530E4" w:rsidRPr="00281428">
        <w:rPr>
          <w:b/>
          <w:iCs/>
          <w:szCs w:val="24"/>
          <w:u w:val="single"/>
        </w:rPr>
        <w:t>Total Quantity Package Error = Sum of Individual Inner Package Errors</w:t>
      </w:r>
      <w:r w:rsidRPr="00281428">
        <w:rPr>
          <w:b/>
          <w:iCs/>
          <w:szCs w:val="24"/>
          <w:u w:val="single"/>
        </w:rPr>
        <w:t>.</w:t>
      </w:r>
    </w:p>
    <w:p w14:paraId="7C65B2C0" w14:textId="77777777" w:rsidR="003B1A9B" w:rsidRPr="00281428" w:rsidRDefault="003B1A9B" w:rsidP="003B1A9B">
      <w:pPr>
        <w:pStyle w:val="BoldHeading"/>
      </w:pPr>
      <w:r w:rsidRPr="00281428">
        <w:t xml:space="preserve">Background/Discussion:  </w:t>
      </w:r>
    </w:p>
    <w:p w14:paraId="64876F0D" w14:textId="38490042" w:rsidR="003B1A9B" w:rsidRPr="00281428" w:rsidRDefault="003B1A9B" w:rsidP="003B1A9B">
      <w:pPr>
        <w:pStyle w:val="NoSpacing"/>
        <w:spacing w:after="240"/>
        <w:rPr>
          <w:rFonts w:ascii="Times New Roman" w:hAnsi="Times New Roman"/>
          <w:sz w:val="20"/>
          <w:szCs w:val="20"/>
        </w:rPr>
      </w:pPr>
      <w:r w:rsidRPr="00281428">
        <w:rPr>
          <w:rFonts w:ascii="Times New Roman" w:hAnsi="Times New Roman"/>
          <w:sz w:val="20"/>
          <w:szCs w:val="20"/>
        </w:rPr>
        <w:t xml:space="preserve">This item </w:t>
      </w:r>
      <w:r w:rsidR="004E1E8D" w:rsidRPr="00281428">
        <w:rPr>
          <w:rFonts w:ascii="Times New Roman" w:hAnsi="Times New Roman"/>
          <w:sz w:val="20"/>
          <w:szCs w:val="20"/>
        </w:rPr>
        <w:t>was originally</w:t>
      </w:r>
      <w:r w:rsidRPr="00281428">
        <w:rPr>
          <w:rFonts w:ascii="Times New Roman" w:hAnsi="Times New Roman"/>
          <w:sz w:val="20"/>
          <w:szCs w:val="20"/>
        </w:rPr>
        <w:t xml:space="preserve"> </w:t>
      </w:r>
      <w:r w:rsidR="004E1E8D" w:rsidRPr="00281428">
        <w:rPr>
          <w:rFonts w:ascii="Times New Roman" w:hAnsi="Times New Roman"/>
          <w:sz w:val="20"/>
          <w:szCs w:val="20"/>
        </w:rPr>
        <w:t>submitted and developed by:</w:t>
      </w:r>
    </w:p>
    <w:p w14:paraId="3ABC36F1" w14:textId="77777777" w:rsidR="003B1A9B" w:rsidRPr="00281428" w:rsidRDefault="003B1A9B" w:rsidP="00C94014">
      <w:pPr>
        <w:pStyle w:val="NoSpacing"/>
        <w:ind w:left="720"/>
        <w:rPr>
          <w:rFonts w:ascii="Times New Roman" w:hAnsi="Times New Roman"/>
          <w:sz w:val="20"/>
          <w:szCs w:val="20"/>
        </w:rPr>
      </w:pPr>
      <w:r w:rsidRPr="00281428">
        <w:rPr>
          <w:rFonts w:ascii="Times New Roman" w:hAnsi="Times New Roman"/>
          <w:sz w:val="20"/>
          <w:szCs w:val="20"/>
        </w:rPr>
        <w:t xml:space="preserve">Ms. Lisa Warfield </w:t>
      </w:r>
    </w:p>
    <w:p w14:paraId="619480A2" w14:textId="77777777" w:rsidR="003B1A9B" w:rsidRPr="00281428" w:rsidRDefault="003B1A9B" w:rsidP="00C94014">
      <w:pPr>
        <w:pStyle w:val="NoSpacing"/>
        <w:ind w:left="720"/>
        <w:rPr>
          <w:rFonts w:ascii="Times New Roman" w:hAnsi="Times New Roman"/>
          <w:sz w:val="20"/>
          <w:szCs w:val="20"/>
        </w:rPr>
      </w:pPr>
      <w:r w:rsidRPr="00281428">
        <w:rPr>
          <w:rFonts w:ascii="Times New Roman" w:hAnsi="Times New Roman"/>
          <w:sz w:val="20"/>
          <w:szCs w:val="20"/>
        </w:rPr>
        <w:t>NIST, Office of Weights and Measures</w:t>
      </w:r>
    </w:p>
    <w:p w14:paraId="1917B2D3" w14:textId="4BBF6614" w:rsidR="003B1A9B" w:rsidRPr="00281428" w:rsidRDefault="00693FE6" w:rsidP="00C94014">
      <w:pPr>
        <w:pStyle w:val="NoSpacing"/>
        <w:spacing w:after="240"/>
        <w:ind w:left="720"/>
        <w:rPr>
          <w:rFonts w:ascii="Times New Roman" w:hAnsi="Times New Roman"/>
          <w:b/>
          <w:sz w:val="20"/>
          <w:szCs w:val="20"/>
        </w:rPr>
      </w:pPr>
      <w:r>
        <w:rPr>
          <w:rFonts w:ascii="Times New Roman" w:hAnsi="Times New Roman"/>
          <w:sz w:val="20"/>
          <w:szCs w:val="20"/>
        </w:rPr>
        <w:t>301-</w:t>
      </w:r>
      <w:r w:rsidR="003B1A9B" w:rsidRPr="00281428">
        <w:rPr>
          <w:rFonts w:ascii="Times New Roman" w:hAnsi="Times New Roman"/>
          <w:sz w:val="20"/>
          <w:szCs w:val="20"/>
        </w:rPr>
        <w:t xml:space="preserve">975-3308, </w:t>
      </w:r>
      <w:hyperlink r:id="rId15" w:history="1">
        <w:r w:rsidR="005E5636" w:rsidRPr="00693FE6">
          <w:rPr>
            <w:rFonts w:ascii="Times New Roman" w:hAnsi="Times New Roman"/>
            <w:color w:val="0000FF"/>
            <w:sz w:val="20"/>
            <w:szCs w:val="20"/>
            <w:u w:val="single"/>
          </w:rPr>
          <w:t>lisa.warfield@nist.gov</w:t>
        </w:r>
      </w:hyperlink>
      <w:r>
        <w:rPr>
          <w:rFonts w:ascii="Times New Roman" w:hAnsi="Times New Roman"/>
          <w:color w:val="0000FF"/>
          <w:sz w:val="20"/>
          <w:szCs w:val="20"/>
        </w:rPr>
        <w:t xml:space="preserve"> </w:t>
      </w:r>
      <w:r w:rsidR="005E5636" w:rsidRPr="00281428">
        <w:rPr>
          <w:rFonts w:ascii="Times New Roman" w:hAnsi="Times New Roman"/>
          <w:b/>
          <w:sz w:val="20"/>
          <w:szCs w:val="20"/>
        </w:rPr>
        <w:t xml:space="preserve"> </w:t>
      </w:r>
    </w:p>
    <w:p w14:paraId="3D3418AD" w14:textId="05B2FBF3" w:rsidR="003B1A9B" w:rsidRPr="002A49DA" w:rsidRDefault="003B1A9B" w:rsidP="003B1A9B">
      <w:pPr>
        <w:rPr>
          <w:szCs w:val="24"/>
        </w:rPr>
      </w:pPr>
      <w:r w:rsidRPr="002A49DA">
        <w:rPr>
          <w:szCs w:val="24"/>
        </w:rPr>
        <w:t xml:space="preserve">When current test procedures in Handbook 133 are used and an MAV is applied to the total quantity declaration on some multiunit and variety packages the MAV allowed for the individual inner packages can indirectly be reduced as much as 50% or more, depending on the number of individual items in the package.  This proposal </w:t>
      </w:r>
      <w:r w:rsidR="004E1E8D" w:rsidRPr="002A49DA">
        <w:rPr>
          <w:szCs w:val="24"/>
        </w:rPr>
        <w:t>modifies</w:t>
      </w:r>
      <w:r w:rsidRPr="002A49DA">
        <w:rPr>
          <w:szCs w:val="24"/>
        </w:rPr>
        <w:t xml:space="preserve"> Handbook </w:t>
      </w:r>
      <w:r w:rsidRPr="002A49DA">
        <w:rPr>
          <w:szCs w:val="24"/>
        </w:rPr>
        <w:lastRenderedPageBreak/>
        <w:t>133 to add language regarding the total quantity declaration on multiunit or variety packages, when the MAV may need to be recalculated based on the Total Quantity MAV.</w:t>
      </w:r>
    </w:p>
    <w:p w14:paraId="12A37E64" w14:textId="162072E5" w:rsidR="003B1A9B" w:rsidRPr="002A49DA" w:rsidRDefault="003B1A9B" w:rsidP="003B1A9B">
      <w:pPr>
        <w:rPr>
          <w:szCs w:val="24"/>
        </w:rPr>
      </w:pPr>
      <w:r w:rsidRPr="002A49DA">
        <w:rPr>
          <w:szCs w:val="24"/>
        </w:rPr>
        <w:t xml:space="preserve">When a total quantity declaration on a multiunit or variety package is </w:t>
      </w:r>
      <w:proofErr w:type="gramStart"/>
      <w:r w:rsidRPr="002A49DA">
        <w:rPr>
          <w:szCs w:val="24"/>
        </w:rPr>
        <w:t>verified</w:t>
      </w:r>
      <w:proofErr w:type="gramEnd"/>
      <w:r w:rsidRPr="002A49DA">
        <w:rPr>
          <w:szCs w:val="24"/>
        </w:rPr>
        <w:t xml:space="preserve"> it will require the inspector, except when the MAV is based on a percentage of the labeled quantity, to calculate and use a “Total Quantity MAV.”  This calculation will determine if minus package errors are unreasonable (an unreasonable error is a minus package error that exceeds an MAV specified in the proper table of MAVs in Handbook 133, Appendix A. “Tables”) A “Total Quantity MAV” is calculated by multiplying the number of individual inner packages by the MAV value, which is based on the declared quantity of the individual inner packages.  It is found by looking up the MAV for the individual inner package quantity (See H</w:t>
      </w:r>
      <w:r w:rsidR="00AF57A9" w:rsidRPr="002A49DA">
        <w:rPr>
          <w:szCs w:val="24"/>
        </w:rPr>
        <w:t>andbook</w:t>
      </w:r>
      <w:r w:rsidRPr="002A49DA">
        <w:rPr>
          <w:szCs w:val="24"/>
        </w:rPr>
        <w:t xml:space="preserve"> 133, Appendix A. “Tables”) and then calculating the “Total Quantity MAV.”  This test procedure will be used to assist inspectors with their inspection.</w:t>
      </w:r>
    </w:p>
    <w:p w14:paraId="25347821" w14:textId="4793494A" w:rsidR="003B1A9B" w:rsidRPr="002A49DA" w:rsidRDefault="003B1A9B" w:rsidP="003B1A9B">
      <w:pPr>
        <w:pStyle w:val="BoldHeading"/>
        <w:spacing w:after="240"/>
        <w:rPr>
          <w:b w:val="0"/>
        </w:rPr>
      </w:pPr>
      <w:r w:rsidRPr="00B957D8">
        <w:rPr>
          <w:b w:val="0"/>
          <w:u w:val="single"/>
        </w:rPr>
        <w:t xml:space="preserve">NCWM </w:t>
      </w:r>
      <w:r w:rsidR="001377BB">
        <w:rPr>
          <w:b w:val="0"/>
          <w:u w:val="single"/>
        </w:rPr>
        <w:t xml:space="preserve">2019 </w:t>
      </w:r>
      <w:r w:rsidRPr="00B957D8">
        <w:rPr>
          <w:b w:val="0"/>
          <w:u w:val="single"/>
        </w:rPr>
        <w:t>Interim Meetin</w:t>
      </w:r>
      <w:r w:rsidR="00B957D8" w:rsidRPr="00B957D8">
        <w:rPr>
          <w:b w:val="0"/>
          <w:u w:val="single"/>
        </w:rPr>
        <w:t>g:</w:t>
      </w:r>
      <w:r w:rsidR="00B957D8">
        <w:rPr>
          <w:b w:val="0"/>
        </w:rPr>
        <w:t xml:space="preserve">  C</w:t>
      </w:r>
      <w:r w:rsidRPr="002A49DA">
        <w:rPr>
          <w:b w:val="0"/>
        </w:rPr>
        <w:t>omments were heard recognizing the merit of this item.  Several regulators and an industry member made comments that some areas within the</w:t>
      </w:r>
      <w:r w:rsidR="004E1E8D" w:rsidRPr="002A49DA">
        <w:rPr>
          <w:b w:val="0"/>
        </w:rPr>
        <w:t xml:space="preserve"> test</w:t>
      </w:r>
      <w:r w:rsidRPr="002A49DA">
        <w:rPr>
          <w:b w:val="0"/>
        </w:rPr>
        <w:t xml:space="preserve"> procedure are too confusing.  Mr. Tim Chesser (A</w:t>
      </w:r>
      <w:r w:rsidR="005E7527" w:rsidRPr="002A49DA">
        <w:rPr>
          <w:b w:val="0"/>
        </w:rPr>
        <w:t>rkansas</w:t>
      </w:r>
      <w:r w:rsidRPr="002A49DA">
        <w:rPr>
          <w:b w:val="0"/>
        </w:rPr>
        <w:t xml:space="preserve">) remarked that </w:t>
      </w:r>
      <w:r w:rsidR="004E1E8D" w:rsidRPr="002A49DA">
        <w:rPr>
          <w:b w:val="0"/>
        </w:rPr>
        <w:t xml:space="preserve">he </w:t>
      </w:r>
      <w:r w:rsidRPr="002A49DA">
        <w:rPr>
          <w:b w:val="0"/>
        </w:rPr>
        <w:t>does not understand Item Net 3. Section 5.4.1.1. MAV Application.  Mr. Kurt Floren (L</w:t>
      </w:r>
      <w:r w:rsidR="005E7527" w:rsidRPr="002A49DA">
        <w:rPr>
          <w:b w:val="0"/>
        </w:rPr>
        <w:t>os Angeles County, California</w:t>
      </w:r>
      <w:r w:rsidRPr="002A49DA">
        <w:rPr>
          <w:b w:val="0"/>
        </w:rPr>
        <w:t>) submitted editorial changes</w:t>
      </w:r>
      <w:r w:rsidR="004E1E8D" w:rsidRPr="002A49DA">
        <w:rPr>
          <w:b w:val="0"/>
        </w:rPr>
        <w:t xml:space="preserve">.  The </w:t>
      </w:r>
      <w:r w:rsidRPr="002A49DA">
        <w:rPr>
          <w:b w:val="0"/>
        </w:rPr>
        <w:t xml:space="preserve">Committee accepted </w:t>
      </w:r>
      <w:r w:rsidR="004E1E8D" w:rsidRPr="002A49DA">
        <w:rPr>
          <w:b w:val="0"/>
        </w:rPr>
        <w:t xml:space="preserve">these revisions </w:t>
      </w:r>
      <w:r w:rsidRPr="002A49DA">
        <w:rPr>
          <w:b w:val="0"/>
        </w:rPr>
        <w:t xml:space="preserve">for the entire Item Block 1.  In addition, the Committee would like NIST/OWM to address Mr. Floren’s comments for </w:t>
      </w:r>
      <w:r w:rsidR="004E1E8D" w:rsidRPr="002A49DA">
        <w:rPr>
          <w:b w:val="0"/>
        </w:rPr>
        <w:t xml:space="preserve">Item </w:t>
      </w:r>
      <w:r w:rsidRPr="002A49DA">
        <w:rPr>
          <w:b w:val="0"/>
        </w:rPr>
        <w:t xml:space="preserve">NET-3. Chapter 5. Specialized Test Procedures will be reviewed by the NIST/OWM.  </w:t>
      </w:r>
      <w:r w:rsidR="00452AB2" w:rsidRPr="002A49DA">
        <w:rPr>
          <w:b w:val="0"/>
        </w:rPr>
        <w:t xml:space="preserve">Due to the Federal Government furlough, </w:t>
      </w:r>
      <w:r w:rsidRPr="002A49DA">
        <w:rPr>
          <w:b w:val="0"/>
        </w:rPr>
        <w:t>NIST OWM was not in attendance, so concerns could not be addressed</w:t>
      </w:r>
      <w:r w:rsidR="004E1E8D" w:rsidRPr="002A49DA">
        <w:rPr>
          <w:b w:val="0"/>
        </w:rPr>
        <w:t xml:space="preserve"> at the meeting</w:t>
      </w:r>
      <w:r w:rsidRPr="002A49DA">
        <w:rPr>
          <w:b w:val="0"/>
        </w:rPr>
        <w:t>.  The Committee would like the submitter to review formatting, clarifying label quantity, and modifying language for additional clarity.  The Committee would like to see the above issues reviewed by the submitter and encourages further development.</w:t>
      </w:r>
    </w:p>
    <w:p w14:paraId="68F14D7F" w14:textId="163C78FA" w:rsidR="003B1A9B" w:rsidRPr="002A49DA" w:rsidRDefault="003B1A9B" w:rsidP="003B1A9B">
      <w:pPr>
        <w:pStyle w:val="BoldHeading"/>
        <w:spacing w:after="240"/>
        <w:rPr>
          <w:b w:val="0"/>
        </w:rPr>
      </w:pPr>
      <w:r w:rsidRPr="00B957D8">
        <w:rPr>
          <w:b w:val="0"/>
          <w:u w:val="single"/>
        </w:rPr>
        <w:t xml:space="preserve">NCWM </w:t>
      </w:r>
      <w:r w:rsidR="001377BB">
        <w:rPr>
          <w:b w:val="0"/>
          <w:u w:val="single"/>
        </w:rPr>
        <w:t xml:space="preserve">2019 </w:t>
      </w:r>
      <w:r w:rsidRPr="00B957D8">
        <w:rPr>
          <w:b w:val="0"/>
          <w:u w:val="single"/>
        </w:rPr>
        <w:t>Annual Meeting</w:t>
      </w:r>
      <w:r w:rsidR="00B957D8" w:rsidRPr="00B957D8">
        <w:rPr>
          <w:b w:val="0"/>
          <w:u w:val="single"/>
        </w:rPr>
        <w:t>:</w:t>
      </w:r>
      <w:r w:rsidR="00B957D8" w:rsidRPr="00595D9D">
        <w:rPr>
          <w:b w:val="0"/>
        </w:rPr>
        <w:t xml:space="preserve"> </w:t>
      </w:r>
      <w:r w:rsidR="00BB6216" w:rsidRPr="00595D9D">
        <w:rPr>
          <w:b w:val="0"/>
        </w:rPr>
        <w:t xml:space="preserve"> </w:t>
      </w:r>
      <w:r w:rsidR="00BB6216" w:rsidRPr="002A49DA">
        <w:rPr>
          <w:b w:val="0"/>
        </w:rPr>
        <w:t>Ms</w:t>
      </w:r>
      <w:r w:rsidR="00452AB2" w:rsidRPr="002A49DA">
        <w:rPr>
          <w:b w:val="0"/>
        </w:rPr>
        <w:t>.</w:t>
      </w:r>
      <w:r w:rsidRPr="002A49DA">
        <w:rPr>
          <w:b w:val="0"/>
        </w:rPr>
        <w:t xml:space="preserve"> Warfield stressed to membership that this item is fully developed and </w:t>
      </w:r>
      <w:r w:rsidR="009A635F" w:rsidRPr="002A49DA">
        <w:rPr>
          <w:b w:val="0"/>
        </w:rPr>
        <w:t>a technical document with supporting d</w:t>
      </w:r>
      <w:r w:rsidRPr="002A49DA">
        <w:rPr>
          <w:b w:val="0"/>
        </w:rPr>
        <w:t xml:space="preserve">ata </w:t>
      </w:r>
      <w:r w:rsidR="00452AB2" w:rsidRPr="002A49DA">
        <w:rPr>
          <w:b w:val="0"/>
        </w:rPr>
        <w:t>were submitted</w:t>
      </w:r>
      <w:r w:rsidR="009A635F" w:rsidRPr="002A49DA">
        <w:rPr>
          <w:b w:val="0"/>
        </w:rPr>
        <w:t xml:space="preserve"> to support these proposals.   It also presented issues that </w:t>
      </w:r>
      <w:r w:rsidRPr="002A49DA">
        <w:rPr>
          <w:b w:val="0"/>
        </w:rPr>
        <w:t>inspectors found pertaining to multi-unit and variety packages during inspections.  NIST also addressed the WWMA comments in the latest Item under Consideration.  There were no additional comments heard at the Annual Meeting.</w:t>
      </w:r>
    </w:p>
    <w:p w14:paraId="0C36F43B" w14:textId="4E386C26" w:rsidR="003B1A9B" w:rsidRPr="002A49DA" w:rsidRDefault="003B1A9B" w:rsidP="003B1A9B">
      <w:pPr>
        <w:rPr>
          <w:rFonts w:eastAsiaTheme="minorHAnsi"/>
          <w:szCs w:val="20"/>
        </w:rPr>
      </w:pPr>
      <w:r w:rsidRPr="00B957D8">
        <w:rPr>
          <w:rFonts w:eastAsiaTheme="minorHAnsi"/>
          <w:szCs w:val="20"/>
          <w:u w:val="single"/>
        </w:rPr>
        <w:t xml:space="preserve">NCWM </w:t>
      </w:r>
      <w:r w:rsidR="001377BB">
        <w:rPr>
          <w:rFonts w:eastAsiaTheme="minorHAnsi"/>
          <w:szCs w:val="20"/>
          <w:u w:val="single"/>
        </w:rPr>
        <w:t xml:space="preserve">2020 </w:t>
      </w:r>
      <w:r w:rsidRPr="00B957D8">
        <w:rPr>
          <w:rFonts w:eastAsiaTheme="minorHAnsi"/>
          <w:szCs w:val="20"/>
          <w:u w:val="single"/>
        </w:rPr>
        <w:t>Interim Meeting</w:t>
      </w:r>
      <w:r w:rsidR="00B957D8" w:rsidRPr="00B957D8">
        <w:rPr>
          <w:rFonts w:eastAsiaTheme="minorHAnsi"/>
          <w:szCs w:val="20"/>
          <w:u w:val="single"/>
        </w:rPr>
        <w:t>:</w:t>
      </w:r>
      <w:r w:rsidR="00B957D8">
        <w:rPr>
          <w:rFonts w:eastAsiaTheme="minorHAnsi"/>
          <w:szCs w:val="20"/>
        </w:rPr>
        <w:t xml:space="preserve"> A</w:t>
      </w:r>
      <w:r w:rsidRPr="002A49DA">
        <w:rPr>
          <w:rFonts w:eastAsiaTheme="minorHAnsi"/>
          <w:szCs w:val="20"/>
        </w:rPr>
        <w:t>n update on the last language submitted for this item on December 27, 2019 was provided by Ms. Warfield</w:t>
      </w:r>
      <w:r w:rsidR="009A635F" w:rsidRPr="002A49DA">
        <w:rPr>
          <w:rFonts w:eastAsiaTheme="minorHAnsi"/>
          <w:szCs w:val="20"/>
        </w:rPr>
        <w:t xml:space="preserve">.  </w:t>
      </w:r>
      <w:r w:rsidRPr="002A49DA">
        <w:rPr>
          <w:rFonts w:eastAsiaTheme="minorHAnsi"/>
          <w:szCs w:val="20"/>
        </w:rPr>
        <w:t xml:space="preserve">She remarked the work done to develop the proposal and clarify the procedure language.  Ms. Warfield reminded the audience NET-19.3 creates a Chapter 5, “Specialized Test Procedures” must be approved for the rest of the items in the block to proceed.  This block of items was submitted by OWM after some states requested assistance inspecting these types of packages.  Mr. Chris Guay (Procter and Gamble Co.) gave merit to the item </w:t>
      </w:r>
      <w:r w:rsidR="009A635F" w:rsidRPr="002A49DA">
        <w:rPr>
          <w:rFonts w:eastAsiaTheme="minorHAnsi"/>
          <w:szCs w:val="20"/>
        </w:rPr>
        <w:t>but</w:t>
      </w:r>
      <w:r w:rsidRPr="002A49DA">
        <w:rPr>
          <w:rFonts w:eastAsiaTheme="minorHAnsi"/>
          <w:szCs w:val="20"/>
        </w:rPr>
        <w:t xml:space="preserve"> requested review of the definition of Multiunit </w:t>
      </w:r>
      <w:r w:rsidR="00B800E8" w:rsidRPr="002A49DA">
        <w:rPr>
          <w:rFonts w:eastAsiaTheme="minorHAnsi"/>
          <w:szCs w:val="20"/>
        </w:rPr>
        <w:t>Package and</w:t>
      </w:r>
      <w:r w:rsidRPr="002A49DA">
        <w:rPr>
          <w:rFonts w:eastAsiaTheme="minorHAnsi"/>
          <w:szCs w:val="20"/>
        </w:rPr>
        <w:t xml:space="preserve"> referred to the </w:t>
      </w:r>
      <w:r w:rsidR="009A635F" w:rsidRPr="002A49DA">
        <w:rPr>
          <w:rFonts w:eastAsiaTheme="minorHAnsi"/>
          <w:szCs w:val="20"/>
        </w:rPr>
        <w:t xml:space="preserve">definition </w:t>
      </w:r>
      <w:r w:rsidRPr="002A49DA">
        <w:rPr>
          <w:rFonts w:eastAsiaTheme="minorHAnsi"/>
          <w:szCs w:val="20"/>
        </w:rPr>
        <w:t>in CFR 21.  Mr. Kurt Floren (L</w:t>
      </w:r>
      <w:r w:rsidR="005E7527" w:rsidRPr="002A49DA">
        <w:rPr>
          <w:rFonts w:eastAsiaTheme="minorHAnsi"/>
          <w:szCs w:val="20"/>
        </w:rPr>
        <w:t>os Angeles</w:t>
      </w:r>
      <w:r w:rsidRPr="002A49DA">
        <w:rPr>
          <w:rFonts w:eastAsiaTheme="minorHAnsi"/>
          <w:szCs w:val="20"/>
        </w:rPr>
        <w:t xml:space="preserve"> County, C</w:t>
      </w:r>
      <w:r w:rsidR="005E7527" w:rsidRPr="002A49DA">
        <w:rPr>
          <w:rFonts w:eastAsiaTheme="minorHAnsi"/>
          <w:szCs w:val="20"/>
        </w:rPr>
        <w:t>alifornia</w:t>
      </w:r>
      <w:r w:rsidRPr="002A49DA">
        <w:rPr>
          <w:rFonts w:eastAsiaTheme="minorHAnsi"/>
          <w:szCs w:val="20"/>
        </w:rPr>
        <w:t xml:space="preserve">) expressed his support for the item but pointed out some punctuation and editorial </w:t>
      </w:r>
      <w:r w:rsidR="009A635F" w:rsidRPr="002A49DA">
        <w:rPr>
          <w:rFonts w:eastAsiaTheme="minorHAnsi"/>
          <w:szCs w:val="20"/>
        </w:rPr>
        <w:t xml:space="preserve">changes were </w:t>
      </w:r>
      <w:r w:rsidR="00B800E8" w:rsidRPr="002A49DA">
        <w:rPr>
          <w:rFonts w:eastAsiaTheme="minorHAnsi"/>
          <w:szCs w:val="20"/>
        </w:rPr>
        <w:t>needed.</w:t>
      </w:r>
      <w:r w:rsidRPr="002A49DA">
        <w:rPr>
          <w:rFonts w:eastAsiaTheme="minorHAnsi"/>
          <w:szCs w:val="20"/>
        </w:rPr>
        <w:t xml:space="preserve">  He said wording in Section 5.4.3 can be improved</w:t>
      </w:r>
      <w:r w:rsidR="009A635F" w:rsidRPr="002A49DA">
        <w:rPr>
          <w:rFonts w:eastAsiaTheme="minorHAnsi"/>
          <w:szCs w:val="20"/>
        </w:rPr>
        <w:t xml:space="preserve"> for cla</w:t>
      </w:r>
      <w:r w:rsidR="00B800E8" w:rsidRPr="002A49DA">
        <w:rPr>
          <w:rFonts w:eastAsiaTheme="minorHAnsi"/>
          <w:szCs w:val="20"/>
        </w:rPr>
        <w:t>rity</w:t>
      </w:r>
      <w:r w:rsidRPr="002A49DA">
        <w:rPr>
          <w:rFonts w:eastAsiaTheme="minorHAnsi"/>
          <w:szCs w:val="20"/>
        </w:rPr>
        <w:t>.  Ms. Ann Boeckman (Kraft Heinz Foods Co.) also expressed concerns about the definition of multiunit package for retail sale.  Opinions from Ms. Angela Godwin (Ventura County, C</w:t>
      </w:r>
      <w:r w:rsidR="005E7527" w:rsidRPr="002A49DA">
        <w:rPr>
          <w:rFonts w:eastAsiaTheme="minorHAnsi"/>
          <w:szCs w:val="20"/>
        </w:rPr>
        <w:t>alifornia</w:t>
      </w:r>
      <w:r w:rsidRPr="002A49DA">
        <w:rPr>
          <w:rFonts w:eastAsiaTheme="minorHAnsi"/>
          <w:szCs w:val="20"/>
        </w:rPr>
        <w:t xml:space="preserve">) and Ms. Katherine deContreras (California) were heard during the open hearing; both agreed the procedure is confusing and needs additional work but, both concur the item has merit. </w:t>
      </w:r>
    </w:p>
    <w:p w14:paraId="33442EE9" w14:textId="39A9E430" w:rsidR="003B1A9B" w:rsidRDefault="003B1A9B" w:rsidP="003B1A9B">
      <w:pPr>
        <w:pStyle w:val="BoldHeading"/>
        <w:spacing w:after="240"/>
        <w:rPr>
          <w:rFonts w:eastAsiaTheme="minorHAnsi"/>
          <w:b w:val="0"/>
          <w:szCs w:val="20"/>
        </w:rPr>
      </w:pPr>
      <w:r w:rsidRPr="002A49DA">
        <w:rPr>
          <w:rFonts w:eastAsiaTheme="minorHAnsi"/>
          <w:b w:val="0"/>
          <w:szCs w:val="20"/>
        </w:rPr>
        <w:t xml:space="preserve">There </w:t>
      </w:r>
      <w:r w:rsidR="00B800E8" w:rsidRPr="002A49DA">
        <w:rPr>
          <w:rFonts w:eastAsiaTheme="minorHAnsi"/>
          <w:b w:val="0"/>
          <w:szCs w:val="20"/>
        </w:rPr>
        <w:t xml:space="preserve">were </w:t>
      </w:r>
      <w:r w:rsidRPr="002A49DA">
        <w:rPr>
          <w:rFonts w:eastAsiaTheme="minorHAnsi"/>
          <w:b w:val="0"/>
          <w:szCs w:val="20"/>
        </w:rPr>
        <w:t>concern</w:t>
      </w:r>
      <w:r w:rsidR="00B800E8" w:rsidRPr="002A49DA">
        <w:rPr>
          <w:rFonts w:eastAsiaTheme="minorHAnsi"/>
          <w:b w:val="0"/>
          <w:szCs w:val="20"/>
        </w:rPr>
        <w:t>s</w:t>
      </w:r>
      <w:r w:rsidRPr="002A49DA">
        <w:rPr>
          <w:rFonts w:eastAsiaTheme="minorHAnsi"/>
          <w:b w:val="0"/>
          <w:szCs w:val="20"/>
        </w:rPr>
        <w:t xml:space="preserve"> that members</w:t>
      </w:r>
      <w:r w:rsidR="00B800E8" w:rsidRPr="002A49DA">
        <w:rPr>
          <w:rFonts w:eastAsiaTheme="minorHAnsi"/>
          <w:b w:val="0"/>
          <w:szCs w:val="20"/>
        </w:rPr>
        <w:t>hip</w:t>
      </w:r>
      <w:r w:rsidRPr="002A49DA">
        <w:rPr>
          <w:rFonts w:eastAsiaTheme="minorHAnsi"/>
          <w:b w:val="0"/>
          <w:szCs w:val="20"/>
        </w:rPr>
        <w:t xml:space="preserve"> may not have </w:t>
      </w:r>
      <w:r w:rsidR="00B800E8" w:rsidRPr="002A49DA">
        <w:rPr>
          <w:rFonts w:eastAsiaTheme="minorHAnsi"/>
          <w:b w:val="0"/>
          <w:szCs w:val="20"/>
        </w:rPr>
        <w:t xml:space="preserve">reviewed </w:t>
      </w:r>
      <w:r w:rsidRPr="002A49DA">
        <w:rPr>
          <w:rFonts w:eastAsiaTheme="minorHAnsi"/>
          <w:b w:val="0"/>
          <w:szCs w:val="20"/>
        </w:rPr>
        <w:t xml:space="preserve">the modifications submitted by </w:t>
      </w:r>
      <w:r w:rsidR="00065A05" w:rsidRPr="002A49DA">
        <w:rPr>
          <w:rFonts w:eastAsiaTheme="minorHAnsi"/>
          <w:b w:val="0"/>
          <w:szCs w:val="20"/>
        </w:rPr>
        <w:t xml:space="preserve">NIST </w:t>
      </w:r>
      <w:r w:rsidRPr="002A49DA">
        <w:rPr>
          <w:rFonts w:eastAsiaTheme="minorHAnsi"/>
          <w:b w:val="0"/>
          <w:szCs w:val="20"/>
        </w:rPr>
        <w:t xml:space="preserve">OWM </w:t>
      </w:r>
      <w:r w:rsidR="00065A05" w:rsidRPr="002A49DA">
        <w:rPr>
          <w:rFonts w:eastAsiaTheme="minorHAnsi"/>
          <w:b w:val="0"/>
          <w:szCs w:val="20"/>
        </w:rPr>
        <w:t xml:space="preserve">in </w:t>
      </w:r>
      <w:r w:rsidRPr="002A49DA">
        <w:rPr>
          <w:rFonts w:eastAsiaTheme="minorHAnsi"/>
          <w:b w:val="0"/>
          <w:szCs w:val="20"/>
        </w:rPr>
        <w:t xml:space="preserve">December 2019.  There was some confusion as to whether members comments were still valid since they did not review the latest language.  All comments received gave merit to the blocked Item but, some </w:t>
      </w:r>
      <w:r w:rsidR="00B800E8" w:rsidRPr="002A49DA">
        <w:rPr>
          <w:rFonts w:eastAsiaTheme="minorHAnsi"/>
          <w:b w:val="0"/>
          <w:szCs w:val="20"/>
        </w:rPr>
        <w:t xml:space="preserve">still expressed concern </w:t>
      </w:r>
      <w:r w:rsidRPr="002A49DA">
        <w:rPr>
          <w:rFonts w:eastAsiaTheme="minorHAnsi"/>
          <w:b w:val="0"/>
          <w:szCs w:val="20"/>
        </w:rPr>
        <w:t xml:space="preserve">about the definitions of multiunit packages for retail sale and </w:t>
      </w:r>
      <w:r w:rsidR="00B800E8" w:rsidRPr="002A49DA">
        <w:rPr>
          <w:rFonts w:eastAsiaTheme="minorHAnsi"/>
          <w:b w:val="0"/>
          <w:szCs w:val="20"/>
        </w:rPr>
        <w:t xml:space="preserve">others </w:t>
      </w:r>
      <w:r w:rsidRPr="002A49DA">
        <w:rPr>
          <w:rFonts w:eastAsiaTheme="minorHAnsi"/>
          <w:b w:val="0"/>
          <w:szCs w:val="20"/>
        </w:rPr>
        <w:t xml:space="preserve">found the language of the procedure to be confusing. </w:t>
      </w:r>
      <w:r w:rsidR="00B800E8" w:rsidRPr="002A49DA">
        <w:rPr>
          <w:rFonts w:eastAsiaTheme="minorHAnsi"/>
          <w:b w:val="0"/>
          <w:szCs w:val="20"/>
        </w:rPr>
        <w:t xml:space="preserve"> </w:t>
      </w:r>
      <w:r w:rsidRPr="002A49DA">
        <w:rPr>
          <w:rFonts w:eastAsiaTheme="minorHAnsi"/>
          <w:b w:val="0"/>
          <w:szCs w:val="20"/>
        </w:rPr>
        <w:t>Based on the comments, the L&amp;R Committee would like the submitter to review possible issues with the definition of Multiunit packages and, to work on the procedure language to improve clarity.  The L&amp;R Committee recommends the Item Block 1 be Informational to allow the submitter to do an additional review</w:t>
      </w:r>
      <w:r w:rsidR="00EB6B84" w:rsidRPr="002A49DA">
        <w:rPr>
          <w:rFonts w:eastAsiaTheme="minorHAnsi"/>
          <w:b w:val="0"/>
          <w:szCs w:val="20"/>
        </w:rPr>
        <w:t>.</w:t>
      </w:r>
    </w:p>
    <w:p w14:paraId="45A3E7F8" w14:textId="27C8BCBB" w:rsidR="00554191" w:rsidRPr="00554191" w:rsidRDefault="00554191" w:rsidP="003B1A9B">
      <w:pPr>
        <w:pStyle w:val="BoldHeading"/>
        <w:spacing w:after="240"/>
        <w:rPr>
          <w:rFonts w:eastAsiaTheme="minorHAnsi"/>
          <w:b w:val="0"/>
          <w:bCs/>
          <w:szCs w:val="20"/>
        </w:rPr>
      </w:pPr>
      <w:r w:rsidRPr="00554191">
        <w:rPr>
          <w:b w:val="0"/>
          <w:bCs/>
          <w:u w:val="single"/>
        </w:rPr>
        <w:t xml:space="preserve">NCWM </w:t>
      </w:r>
      <w:r w:rsidR="001377BB">
        <w:rPr>
          <w:b w:val="0"/>
          <w:bCs/>
          <w:u w:val="single"/>
        </w:rPr>
        <w:t xml:space="preserve">2020 </w:t>
      </w:r>
      <w:r w:rsidRPr="00554191">
        <w:rPr>
          <w:b w:val="0"/>
          <w:bCs/>
          <w:u w:val="single"/>
        </w:rPr>
        <w:t>Annual Meeting</w:t>
      </w:r>
      <w:r w:rsidRPr="00595D9D">
        <w:rPr>
          <w:b w:val="0"/>
          <w:bCs/>
          <w:u w:val="single"/>
        </w:rPr>
        <w:t>:</w:t>
      </w:r>
      <w:r w:rsidRPr="00554191">
        <w:rPr>
          <w:b w:val="0"/>
          <w:bCs/>
        </w:rPr>
        <w:t xml:space="preserve"> </w:t>
      </w:r>
      <w:r w:rsidR="00595D9D">
        <w:rPr>
          <w:b w:val="0"/>
          <w:bCs/>
        </w:rPr>
        <w:t xml:space="preserve"> </w:t>
      </w:r>
      <w:r w:rsidRPr="00554191">
        <w:rPr>
          <w:b w:val="0"/>
          <w:bCs/>
        </w:rPr>
        <w:t>Due to the 2020 Covid-19 pandemic, this meeting was adjourned to January 2021, at which time it was held as a virtual meeting.  Due to constraint of time, only those items designated as 2020 Voting Items were addressed.  All other items were addressed in the subsequent 2021 NCWM Interim Meeting.</w:t>
      </w:r>
    </w:p>
    <w:p w14:paraId="6D97E69C" w14:textId="2352621A" w:rsidR="00C33BF5" w:rsidRPr="002A49DA" w:rsidRDefault="003A05C1" w:rsidP="00DF1D51">
      <w:pPr>
        <w:pStyle w:val="BoldHeading"/>
        <w:spacing w:after="240"/>
        <w:rPr>
          <w:b w:val="0"/>
          <w:bCs/>
          <w:szCs w:val="20"/>
        </w:rPr>
      </w:pPr>
      <w:r w:rsidRPr="00B957D8">
        <w:rPr>
          <w:b w:val="0"/>
          <w:u w:val="single"/>
        </w:rPr>
        <w:t>NCWM</w:t>
      </w:r>
      <w:r w:rsidR="001377BB">
        <w:rPr>
          <w:b w:val="0"/>
          <w:u w:val="single"/>
        </w:rPr>
        <w:t xml:space="preserve"> 2021</w:t>
      </w:r>
      <w:r w:rsidRPr="00B957D8">
        <w:rPr>
          <w:b w:val="0"/>
          <w:u w:val="single"/>
        </w:rPr>
        <w:t xml:space="preserve"> Interim Meeting</w:t>
      </w:r>
      <w:r w:rsidR="00B957D8" w:rsidRPr="00B957D8">
        <w:rPr>
          <w:b w:val="0"/>
          <w:u w:val="single"/>
        </w:rPr>
        <w:t>:</w:t>
      </w:r>
      <w:r w:rsidR="00B957D8">
        <w:rPr>
          <w:b w:val="0"/>
        </w:rPr>
        <w:t xml:space="preserve"> </w:t>
      </w:r>
      <w:r w:rsidR="00EB6B84" w:rsidRPr="002A49DA">
        <w:rPr>
          <w:b w:val="0"/>
        </w:rPr>
        <w:t xml:space="preserve"> </w:t>
      </w:r>
      <w:r w:rsidRPr="002A49DA">
        <w:rPr>
          <w:b w:val="0"/>
          <w:szCs w:val="20"/>
        </w:rPr>
        <w:t xml:space="preserve">Mr. Floren expressed concerns </w:t>
      </w:r>
      <w:r w:rsidR="001E379B" w:rsidRPr="002A49DA">
        <w:rPr>
          <w:b w:val="0"/>
          <w:szCs w:val="20"/>
        </w:rPr>
        <w:t xml:space="preserve">that the language in certain areas of </w:t>
      </w:r>
      <w:r w:rsidR="0032530E" w:rsidRPr="002A49DA">
        <w:rPr>
          <w:b w:val="0"/>
          <w:szCs w:val="20"/>
        </w:rPr>
        <w:t>B1: NET-19.</w:t>
      </w:r>
      <w:r w:rsidR="00C33BF5" w:rsidRPr="002A49DA">
        <w:rPr>
          <w:b w:val="0"/>
          <w:szCs w:val="20"/>
        </w:rPr>
        <w:t xml:space="preserve">1 and B1: NET-19.3 could use some clarity.  He also recommends that the Committee consider adding in </w:t>
      </w:r>
      <w:r w:rsidR="00EF4EBA" w:rsidRPr="002A49DA">
        <w:rPr>
          <w:b w:val="0"/>
          <w:szCs w:val="20"/>
        </w:rPr>
        <w:t xml:space="preserve">additional information directing the user </w:t>
      </w:r>
      <w:r w:rsidR="00C33BF5" w:rsidRPr="002A49DA">
        <w:rPr>
          <w:b w:val="0"/>
          <w:szCs w:val="20"/>
        </w:rPr>
        <w:t xml:space="preserve">to the federal regulations for USDA/FSIS and FDA for packaged foods for human consumption. </w:t>
      </w:r>
    </w:p>
    <w:p w14:paraId="53FBDE67" w14:textId="1B61C8B3" w:rsidR="008C765A" w:rsidRPr="002A49DA" w:rsidRDefault="008C765A" w:rsidP="00DF1D51">
      <w:pPr>
        <w:pStyle w:val="BoldHeading"/>
        <w:spacing w:after="240"/>
        <w:rPr>
          <w:b w:val="0"/>
          <w:bCs/>
          <w:szCs w:val="20"/>
        </w:rPr>
      </w:pPr>
      <w:r w:rsidRPr="002A49DA">
        <w:rPr>
          <w:b w:val="0"/>
          <w:bCs/>
          <w:szCs w:val="20"/>
        </w:rPr>
        <w:lastRenderedPageBreak/>
        <w:t>Ms. Warfield remarked there is a document that provides the varying definitions for multiunit from FTC, FDA, and USDA regulations.  The Committee does have a copy to assist them in deciding to how to proceed with this block.</w:t>
      </w:r>
      <w:r w:rsidR="009E3338" w:rsidRPr="002A49DA">
        <w:rPr>
          <w:b w:val="0"/>
          <w:bCs/>
          <w:szCs w:val="20"/>
        </w:rPr>
        <w:t xml:space="preserve">  She expressed concern that at NCWM and regional meetings there is not specific feedback as to what is required to get this item voting status.  NIST OWM has provided all supporting data and technical papers to explain how this information was developed.  She suggested that if the Committee is unable to elev</w:t>
      </w:r>
      <w:r w:rsidR="007C3E11" w:rsidRPr="002A49DA">
        <w:rPr>
          <w:b w:val="0"/>
          <w:bCs/>
          <w:szCs w:val="20"/>
        </w:rPr>
        <w:t>ate</w:t>
      </w:r>
      <w:r w:rsidR="009E3338" w:rsidRPr="002A49DA">
        <w:rPr>
          <w:b w:val="0"/>
          <w:bCs/>
          <w:szCs w:val="20"/>
        </w:rPr>
        <w:t xml:space="preserve"> this to “voting” status then they should withdraw and NIST would incorporate this procedure within their H</w:t>
      </w:r>
      <w:r w:rsidR="00D44F7F" w:rsidRPr="002A49DA">
        <w:rPr>
          <w:b w:val="0"/>
          <w:bCs/>
          <w:szCs w:val="20"/>
        </w:rPr>
        <w:t xml:space="preserve">andbook </w:t>
      </w:r>
      <w:r w:rsidR="009E3338" w:rsidRPr="002A49DA">
        <w:rPr>
          <w:b w:val="0"/>
          <w:bCs/>
          <w:szCs w:val="20"/>
        </w:rPr>
        <w:t>133 training courses.</w:t>
      </w:r>
    </w:p>
    <w:p w14:paraId="20159870" w14:textId="2132C4A6" w:rsidR="0032530E" w:rsidRPr="00281428" w:rsidRDefault="0032530E" w:rsidP="002A49DA">
      <w:pPr>
        <w:rPr>
          <w:szCs w:val="20"/>
        </w:rPr>
      </w:pPr>
      <w:r w:rsidRPr="002A49DA">
        <w:rPr>
          <w:szCs w:val="20"/>
        </w:rPr>
        <w:t xml:space="preserve">Mr. Floren and Ms. Warfield </w:t>
      </w:r>
      <w:r w:rsidR="000946F4" w:rsidRPr="002A49DA">
        <w:rPr>
          <w:szCs w:val="20"/>
        </w:rPr>
        <w:t>agreed to work in preparing M</w:t>
      </w:r>
      <w:r w:rsidR="008B7AD6" w:rsidRPr="002A49DA">
        <w:rPr>
          <w:szCs w:val="20"/>
        </w:rPr>
        <w:t xml:space="preserve">r. Floren’s recommendations for </w:t>
      </w:r>
      <w:r w:rsidR="000946F4" w:rsidRPr="002A49DA">
        <w:rPr>
          <w:szCs w:val="20"/>
        </w:rPr>
        <w:t>acceptance and incorporation into the reporting.</w:t>
      </w:r>
    </w:p>
    <w:p w14:paraId="684EFBEB" w14:textId="57B215DC" w:rsidR="00555755" w:rsidRPr="00281428" w:rsidRDefault="00EF4EBA" w:rsidP="000946F4">
      <w:pPr>
        <w:ind w:hanging="29"/>
        <w:rPr>
          <w:iCs/>
          <w:szCs w:val="20"/>
        </w:rPr>
      </w:pPr>
      <w:r w:rsidRPr="00281428">
        <w:rPr>
          <w:iCs/>
          <w:szCs w:val="20"/>
        </w:rPr>
        <w:t>The</w:t>
      </w:r>
      <w:r w:rsidR="00555755" w:rsidRPr="00281428">
        <w:rPr>
          <w:iCs/>
          <w:szCs w:val="20"/>
        </w:rPr>
        <w:t xml:space="preserve"> following recommendations</w:t>
      </w:r>
      <w:r w:rsidR="002F3741" w:rsidRPr="00281428">
        <w:rPr>
          <w:iCs/>
          <w:szCs w:val="20"/>
        </w:rPr>
        <w:t xml:space="preserve"> that reflected with either a double underscore or double strikethrough:</w:t>
      </w:r>
      <w:r w:rsidR="00555755" w:rsidRPr="00281428">
        <w:rPr>
          <w:iCs/>
          <w:szCs w:val="20"/>
        </w:rPr>
        <w:t xml:space="preserve"> </w:t>
      </w:r>
    </w:p>
    <w:p w14:paraId="03D3928D" w14:textId="77777777" w:rsidR="000946F4" w:rsidRPr="00281428" w:rsidRDefault="000946F4" w:rsidP="000946F4">
      <w:r w:rsidRPr="00281428">
        <w:t>B1: NET-19.1. changes:</w:t>
      </w:r>
    </w:p>
    <w:p w14:paraId="7BADF764" w14:textId="77777777" w:rsidR="00555755" w:rsidRPr="00281428" w:rsidRDefault="00555755" w:rsidP="00555755">
      <w:pPr>
        <w:ind w:left="360"/>
        <w:rPr>
          <w:b/>
          <w:szCs w:val="20"/>
        </w:rPr>
      </w:pPr>
      <w:r w:rsidRPr="00281428">
        <w:rPr>
          <w:b/>
        </w:rPr>
        <w:t>1.2.4.  Maximum Allowable Variation</w:t>
      </w:r>
    </w:p>
    <w:p w14:paraId="5BF8BD26" w14:textId="624AC1BF" w:rsidR="00555755" w:rsidRPr="00281428" w:rsidRDefault="00555755" w:rsidP="00555755">
      <w:pPr>
        <w:ind w:left="360"/>
      </w:pPr>
      <w:r w:rsidRPr="00281428">
        <w:t xml:space="preserve">The limit of the “reasonable minus variation” for an underfilled package is called a “Maximum Allowable Variation” (MAV).  An MAV is a deviation from the labeled weight, measure, or count of an individual package beyond which the deficiency is considered an unreasonable minus error.  Each sampling plan limits the number of negative package errors permitted to be greater than the MAV. </w:t>
      </w:r>
    </w:p>
    <w:p w14:paraId="707D4487" w14:textId="77777777" w:rsidR="00555755" w:rsidRPr="00281428" w:rsidRDefault="00555755" w:rsidP="00555755">
      <w:pPr>
        <w:ind w:left="360"/>
        <w:rPr>
          <w:b/>
          <w:szCs w:val="24"/>
          <w:u w:val="single"/>
        </w:rPr>
      </w:pPr>
      <w:r w:rsidRPr="00281428">
        <w:rPr>
          <w:b/>
          <w:szCs w:val="24"/>
          <w:u w:val="single"/>
        </w:rPr>
        <w:t>Packages may be offered for sale individually or</w:t>
      </w:r>
      <w:r w:rsidRPr="00281428">
        <w:rPr>
          <w:b/>
          <w:color w:val="FF0000"/>
          <w:szCs w:val="24"/>
          <w:u w:val="single"/>
        </w:rPr>
        <w:t xml:space="preserve"> </w:t>
      </w:r>
      <w:r w:rsidRPr="00281428">
        <w:rPr>
          <w:b/>
          <w:szCs w:val="24"/>
          <w:u w:val="double"/>
        </w:rPr>
        <w:t>offered for sale</w:t>
      </w:r>
      <w:r w:rsidRPr="00281428">
        <w:rPr>
          <w:b/>
          <w:szCs w:val="24"/>
          <w:u w:val="single"/>
        </w:rPr>
        <w:t xml:space="preserve"> in multiunit packages</w:t>
      </w:r>
      <w:r w:rsidRPr="00281428">
        <w:rPr>
          <w:b/>
          <w:color w:val="FF0000"/>
          <w:szCs w:val="24"/>
          <w:u w:val="single"/>
        </w:rPr>
        <w:t xml:space="preserve"> </w:t>
      </w:r>
      <w:r w:rsidRPr="00281428">
        <w:rPr>
          <w:b/>
          <w:szCs w:val="24"/>
          <w:u w:val="double"/>
        </w:rPr>
        <w:t>or variety packages,</w:t>
      </w:r>
      <w:r w:rsidRPr="00281428">
        <w:rPr>
          <w:b/>
          <w:szCs w:val="24"/>
          <w:u w:val="single"/>
        </w:rPr>
        <w:t xml:space="preserve"> which contain two or more individual inner packages.  </w:t>
      </w:r>
    </w:p>
    <w:p w14:paraId="10BAD433" w14:textId="04672CC3" w:rsidR="00555755" w:rsidRPr="00281428" w:rsidRDefault="00555755" w:rsidP="00555755">
      <w:pPr>
        <w:ind w:left="360"/>
        <w:rPr>
          <w:b/>
          <w:szCs w:val="24"/>
          <w:u w:val="single"/>
        </w:rPr>
      </w:pPr>
      <w:r w:rsidRPr="00281428">
        <w:rPr>
          <w:b/>
          <w:szCs w:val="24"/>
          <w:u w:val="single"/>
        </w:rPr>
        <w:t xml:space="preserve">When </w:t>
      </w:r>
      <w:r w:rsidRPr="00281428">
        <w:rPr>
          <w:rFonts w:ascii="Times New Roman Bold" w:hAnsi="Times New Roman Bold"/>
          <w:b/>
          <w:strike/>
          <w:szCs w:val="24"/>
        </w:rPr>
        <w:t xml:space="preserve">individual </w:t>
      </w:r>
      <w:r w:rsidRPr="00281428">
        <w:rPr>
          <w:b/>
          <w:szCs w:val="24"/>
          <w:u w:val="single"/>
        </w:rPr>
        <w:t xml:space="preserve">packages are tested </w:t>
      </w:r>
      <w:r w:rsidRPr="00281428">
        <w:rPr>
          <w:rFonts w:ascii="Times New Roman Bold" w:hAnsi="Times New Roman Bold"/>
          <w:b/>
          <w:szCs w:val="24"/>
          <w:u w:val="double"/>
        </w:rPr>
        <w:t>whether individual, multiunit, or variety packages,</w:t>
      </w:r>
      <w:r w:rsidRPr="00281428">
        <w:rPr>
          <w:b/>
          <w:szCs w:val="24"/>
          <w:u w:val="single"/>
        </w:rPr>
        <w:t xml:space="preserve"> the MAV is applied to each package in the sample which has a minus package error.</w:t>
      </w:r>
    </w:p>
    <w:p w14:paraId="0E1B1894" w14:textId="2E3A8FCF" w:rsidR="00F6059C" w:rsidRPr="00281428" w:rsidRDefault="00F6059C" w:rsidP="00F6059C">
      <w:pPr>
        <w:rPr>
          <w:bCs/>
          <w:szCs w:val="20"/>
        </w:rPr>
      </w:pPr>
      <w:r w:rsidRPr="00281428">
        <w:rPr>
          <w:bCs/>
          <w:szCs w:val="20"/>
        </w:rPr>
        <w:t>Add a paragraph to make it clear to the inspector how to handle a package that is not in compliance and due to a Packaging and Labeling Regulation violation</w:t>
      </w:r>
      <w:r w:rsidR="00D46A02">
        <w:rPr>
          <w:bCs/>
          <w:szCs w:val="20"/>
        </w:rPr>
        <w:t>:</w:t>
      </w:r>
    </w:p>
    <w:p w14:paraId="4F16CA8D" w14:textId="3FBBE337" w:rsidR="00824BE1" w:rsidRPr="00281428" w:rsidRDefault="00824BE1" w:rsidP="00DF1D51">
      <w:pPr>
        <w:autoSpaceDE w:val="0"/>
        <w:spacing w:before="60"/>
        <w:rPr>
          <w:b/>
          <w:bCs/>
          <w:color w:val="000000" w:themeColor="text1"/>
          <w:u w:val="single"/>
        </w:rPr>
      </w:pPr>
      <w:r w:rsidRPr="00281428">
        <w:rPr>
          <w:b/>
          <w:bCs/>
          <w:color w:val="000000" w:themeColor="text1"/>
          <w:u w:val="single"/>
        </w:rPr>
        <w:t xml:space="preserve">Before determining the MAV and proceeding with tests of the quantity of contents in any multiunit or variety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  </w:t>
      </w:r>
    </w:p>
    <w:p w14:paraId="484ABEB5" w14:textId="77777777" w:rsidR="00555755" w:rsidRPr="00281428" w:rsidRDefault="00555755" w:rsidP="00555755">
      <w:pPr>
        <w:ind w:left="720"/>
        <w:rPr>
          <w:b/>
          <w:szCs w:val="24"/>
          <w:u w:val="single"/>
        </w:rPr>
      </w:pPr>
      <w:r w:rsidRPr="00281428">
        <w:rPr>
          <w:b/>
          <w:szCs w:val="24"/>
          <w:u w:val="single"/>
        </w:rPr>
        <w:t>1.2.4.1.  Total Quantity MAV for Multiunit and Variety Packages (See Chapter 5. “Specialized Test Procedures”)</w:t>
      </w:r>
    </w:p>
    <w:p w14:paraId="768304AF" w14:textId="77777777" w:rsidR="00555755" w:rsidRPr="00281428" w:rsidRDefault="00555755" w:rsidP="00555755">
      <w:pPr>
        <w:ind w:left="1440" w:hanging="360"/>
        <w:rPr>
          <w:b/>
          <w:szCs w:val="20"/>
          <w:u w:val="single"/>
        </w:rPr>
      </w:pPr>
      <w:r w:rsidRPr="00281428">
        <w:rPr>
          <w:b/>
          <w:szCs w:val="20"/>
          <w:u w:val="single"/>
        </w:rPr>
        <w:t>a.</w:t>
      </w:r>
      <w:r w:rsidRPr="00281428">
        <w:rPr>
          <w:szCs w:val="20"/>
        </w:rPr>
        <w:tab/>
      </w:r>
      <w:r w:rsidRPr="00281428">
        <w:rPr>
          <w:b/>
          <w:szCs w:val="20"/>
          <w:u w:val="single"/>
        </w:rPr>
        <w:t xml:space="preserve">Multiunit Package. – </w:t>
      </w:r>
      <w:r w:rsidRPr="00281428">
        <w:rPr>
          <w:rFonts w:ascii="Times New Roman Bold" w:hAnsi="Times New Roman Bold"/>
          <w:b/>
          <w:szCs w:val="20"/>
          <w:u w:val="double"/>
        </w:rPr>
        <w:t>In verifying a</w:t>
      </w:r>
      <w:r w:rsidRPr="00281428">
        <w:rPr>
          <w:b/>
          <w:szCs w:val="20"/>
          <w:u w:val="single"/>
        </w:rPr>
        <w:t xml:space="preserve"> total quantity declaration that appears on a multiunit package, compare a Total Quantity MAV to each minus Total Quantity Package Error to determine if the error is unreasonable.  Calculate the Total Quantity MAV using the following formula: </w:t>
      </w:r>
    </w:p>
    <w:p w14:paraId="30C44D95" w14:textId="77777777" w:rsidR="00555755" w:rsidRPr="00281428" w:rsidRDefault="00555755" w:rsidP="00555755">
      <w:pPr>
        <w:ind w:left="1440" w:hanging="360"/>
        <w:rPr>
          <w:b/>
          <w:szCs w:val="20"/>
          <w:u w:val="single"/>
        </w:rPr>
      </w:pPr>
      <w:r w:rsidRPr="00281428">
        <w:rPr>
          <w:b/>
          <w:szCs w:val="20"/>
          <w:u w:val="single"/>
        </w:rPr>
        <w:t>b.</w:t>
      </w:r>
      <w:r w:rsidRPr="00281428">
        <w:rPr>
          <w:b/>
          <w:szCs w:val="20"/>
        </w:rPr>
        <w:tab/>
      </w:r>
      <w:r w:rsidRPr="00281428">
        <w:rPr>
          <w:b/>
          <w:szCs w:val="20"/>
          <w:u w:val="single"/>
        </w:rPr>
        <w:t xml:space="preserve">Variety Package. – </w:t>
      </w:r>
      <w:r w:rsidRPr="00281428">
        <w:rPr>
          <w:rFonts w:ascii="Times New Roman Bold" w:hAnsi="Times New Roman Bold"/>
          <w:b/>
          <w:szCs w:val="20"/>
          <w:u w:val="double"/>
        </w:rPr>
        <w:t>In verifying a</w:t>
      </w:r>
      <w:r w:rsidRPr="00281428">
        <w:rPr>
          <w:b/>
          <w:szCs w:val="20"/>
          <w:u w:val="single"/>
        </w:rPr>
        <w:t xml:space="preserve"> total quantity declaration that appears on a variety package, compare a Total Quantity MAV to each minus Total Quantity Package Error to determine if the error is unreasonable.  Calculate the Total Quantity MAV using the following formula:</w:t>
      </w:r>
    </w:p>
    <w:p w14:paraId="75E10C11" w14:textId="77777777" w:rsidR="00555755" w:rsidRPr="00281428" w:rsidRDefault="00555755" w:rsidP="00555755">
      <w:pPr>
        <w:ind w:left="1440"/>
        <w:jc w:val="center"/>
        <w:rPr>
          <w:szCs w:val="20"/>
        </w:rPr>
      </w:pPr>
      <w:r w:rsidRPr="00281428">
        <w:rPr>
          <w:b/>
          <w:i/>
          <w:szCs w:val="20"/>
          <w:u w:val="single"/>
        </w:rPr>
        <w:t>Total Quantity MAV = The sum of the applicable MAVs for all Individual Inner Packages</w:t>
      </w:r>
    </w:p>
    <w:p w14:paraId="5598D831" w14:textId="1B3551C2" w:rsidR="00555755" w:rsidRPr="00281428" w:rsidRDefault="00555755" w:rsidP="00792552">
      <w:pPr>
        <w:ind w:left="1440"/>
        <w:rPr>
          <w:b/>
          <w:szCs w:val="24"/>
          <w:u w:val="single"/>
        </w:rPr>
      </w:pPr>
      <w:r w:rsidRPr="00281428">
        <w:rPr>
          <w:b/>
          <w:szCs w:val="20"/>
          <w:u w:val="single"/>
        </w:rPr>
        <w:t xml:space="preserve">Variety packages include commodities that may be generically similar, but differ in weight, measure, volume, or </w:t>
      </w:r>
      <w:r w:rsidRPr="00281428">
        <w:rPr>
          <w:rFonts w:ascii="Times New Roman Bold" w:hAnsi="Times New Roman Bold"/>
          <w:b/>
          <w:dstrike/>
          <w:szCs w:val="20"/>
          <w:u w:val="single"/>
        </w:rPr>
        <w:t>appearance</w:t>
      </w:r>
      <w:r w:rsidRPr="00281428">
        <w:rPr>
          <w:rFonts w:ascii="Times New Roman Bold" w:hAnsi="Times New Roman Bold"/>
          <w:bCs/>
          <w:szCs w:val="20"/>
        </w:rPr>
        <w:t xml:space="preserve"> </w:t>
      </w:r>
      <w:r w:rsidRPr="00281428">
        <w:rPr>
          <w:rFonts w:ascii="Times New Roman Bold" w:hAnsi="Times New Roman Bold"/>
          <w:b/>
          <w:szCs w:val="20"/>
          <w:u w:val="double"/>
        </w:rPr>
        <w:t>design variation (e.g., color, flavor, scent, etc.).</w:t>
      </w:r>
      <w:r w:rsidRPr="00281428">
        <w:rPr>
          <w:b/>
          <w:szCs w:val="20"/>
          <w:u w:val="single"/>
        </w:rPr>
        <w:t xml:space="preserve">  </w:t>
      </w:r>
      <w:r w:rsidRPr="00281428">
        <w:rPr>
          <w:b/>
          <w:szCs w:val="24"/>
          <w:u w:val="single"/>
        </w:rPr>
        <w:t xml:space="preserve">For these packages, a Total Quantity MAV is calculated for each product type </w:t>
      </w:r>
      <w:r w:rsidRPr="00281428">
        <w:rPr>
          <w:rFonts w:ascii="Times New Roman Bold" w:hAnsi="Times New Roman Bold"/>
          <w:b/>
          <w:szCs w:val="24"/>
          <w:u w:val="double"/>
        </w:rPr>
        <w:t xml:space="preserve">within the variety </w:t>
      </w:r>
      <w:r w:rsidRPr="00281428">
        <w:rPr>
          <w:rFonts w:ascii="Times New Roman Bold" w:hAnsi="Times New Roman Bold"/>
          <w:b/>
          <w:szCs w:val="24"/>
          <w:u w:val="double"/>
        </w:rPr>
        <w:lastRenderedPageBreak/>
        <w:t>package</w:t>
      </w:r>
      <w:r w:rsidRPr="00281428">
        <w:rPr>
          <w:b/>
          <w:szCs w:val="24"/>
          <w:u w:val="single"/>
        </w:rPr>
        <w:t xml:space="preserve"> and the results are added to obtain a Total Quantity MAV for comparison to each minus Total Quantity Package Error. </w:t>
      </w:r>
    </w:p>
    <w:p w14:paraId="02A4A275" w14:textId="56804DC5" w:rsidR="00555755" w:rsidRPr="00281428" w:rsidRDefault="007B0315" w:rsidP="00DF1D51">
      <w:pPr>
        <w:tabs>
          <w:tab w:val="left" w:pos="900"/>
        </w:tabs>
        <w:spacing w:before="360"/>
        <w:ind w:left="907" w:hanging="907"/>
        <w:jc w:val="left"/>
        <w:outlineLvl w:val="3"/>
        <w:rPr>
          <w:rFonts w:eastAsia="Times New Roman"/>
          <w:iCs/>
          <w:szCs w:val="20"/>
        </w:rPr>
      </w:pPr>
      <w:bookmarkStart w:id="60" w:name="_Toc52199585"/>
      <w:r w:rsidRPr="00281428">
        <w:rPr>
          <w:rFonts w:eastAsia="Times New Roman"/>
          <w:iCs/>
          <w:szCs w:val="20"/>
        </w:rPr>
        <w:t xml:space="preserve">Changes to </w:t>
      </w:r>
      <w:r w:rsidR="00555755" w:rsidRPr="00281428">
        <w:rPr>
          <w:rFonts w:eastAsia="Times New Roman"/>
          <w:iCs/>
          <w:szCs w:val="20"/>
        </w:rPr>
        <w:t>B1: NET-19.3</w:t>
      </w:r>
      <w:r w:rsidRPr="00281428">
        <w:rPr>
          <w:rFonts w:eastAsia="Times New Roman"/>
          <w:iCs/>
          <w:szCs w:val="20"/>
        </w:rPr>
        <w:t xml:space="preserve"> are reflected below:</w:t>
      </w:r>
      <w:bookmarkEnd w:id="60"/>
    </w:p>
    <w:p w14:paraId="5EC39932" w14:textId="77777777" w:rsidR="00555755" w:rsidRPr="00281428" w:rsidRDefault="00555755" w:rsidP="00792552">
      <w:pPr>
        <w:rPr>
          <w:b/>
          <w:szCs w:val="24"/>
          <w:u w:val="single"/>
        </w:rPr>
      </w:pPr>
      <w:r w:rsidRPr="00281428">
        <w:rPr>
          <w:b/>
          <w:szCs w:val="24"/>
          <w:u w:val="single"/>
        </w:rPr>
        <w:t>5.1.</w:t>
      </w:r>
      <w:r w:rsidRPr="00281428">
        <w:rPr>
          <w:b/>
          <w:szCs w:val="24"/>
        </w:rPr>
        <w:t xml:space="preserve">  </w:t>
      </w:r>
      <w:r w:rsidRPr="00281428">
        <w:rPr>
          <w:b/>
          <w:szCs w:val="24"/>
          <w:u w:val="single"/>
        </w:rPr>
        <w:t>Scope</w:t>
      </w:r>
    </w:p>
    <w:p w14:paraId="10D8F34D" w14:textId="77777777" w:rsidR="00555755" w:rsidRPr="00281428" w:rsidRDefault="00555755" w:rsidP="00DF1D51">
      <w:pPr>
        <w:rPr>
          <w:b/>
          <w:szCs w:val="24"/>
          <w:u w:val="single"/>
        </w:rPr>
      </w:pPr>
      <w:r w:rsidRPr="00281428">
        <w:rPr>
          <w:b/>
          <w:szCs w:val="24"/>
          <w:u w:val="single"/>
        </w:rPr>
        <w:t xml:space="preserve">The following procedures are used in either verifying the net quantity of contents of </w:t>
      </w:r>
      <w:r w:rsidRPr="00281428">
        <w:rPr>
          <w:b/>
          <w:szCs w:val="24"/>
          <w:u w:val="double"/>
        </w:rPr>
        <w:t xml:space="preserve">retail </w:t>
      </w:r>
      <w:r w:rsidRPr="00281428">
        <w:rPr>
          <w:b/>
          <w:szCs w:val="24"/>
          <w:u w:val="single"/>
        </w:rPr>
        <w:t xml:space="preserve">multiunit packages with individual inner packages </w:t>
      </w:r>
      <w:r w:rsidRPr="00281428">
        <w:rPr>
          <w:b/>
          <w:szCs w:val="24"/>
          <w:u w:val="double"/>
        </w:rPr>
        <w:t>of</w:t>
      </w:r>
      <w:r w:rsidRPr="00281428">
        <w:rPr>
          <w:b/>
          <w:szCs w:val="24"/>
          <w:u w:val="single"/>
        </w:rPr>
        <w:t xml:space="preserve"> the same commodity </w:t>
      </w:r>
      <w:r w:rsidRPr="00281428">
        <w:rPr>
          <w:b/>
          <w:szCs w:val="24"/>
          <w:u w:val="double"/>
        </w:rPr>
        <w:t>that have</w:t>
      </w:r>
      <w:r w:rsidRPr="00281428">
        <w:rPr>
          <w:b/>
          <w:szCs w:val="24"/>
          <w:u w:val="single"/>
        </w:rPr>
        <w:t xml:space="preserve"> identically-labeled quantities or </w:t>
      </w:r>
      <w:r w:rsidRPr="00281428">
        <w:rPr>
          <w:b/>
          <w:szCs w:val="24"/>
          <w:u w:val="double"/>
        </w:rPr>
        <w:t>in</w:t>
      </w:r>
      <w:r w:rsidRPr="00281428">
        <w:rPr>
          <w:b/>
          <w:szCs w:val="24"/>
          <w:u w:val="single"/>
        </w:rPr>
        <w:t xml:space="preserve"> verifying </w:t>
      </w:r>
      <w:r w:rsidRPr="00281428">
        <w:rPr>
          <w:b/>
          <w:szCs w:val="24"/>
          <w:u w:val="double"/>
        </w:rPr>
        <w:t xml:space="preserve">retail </w:t>
      </w:r>
      <w:r w:rsidRPr="00281428">
        <w:rPr>
          <w:b/>
          <w:szCs w:val="24"/>
          <w:u w:val="single"/>
        </w:rPr>
        <w:t xml:space="preserve">variety packages with individual inner packages </w:t>
      </w:r>
      <w:r w:rsidRPr="00281428">
        <w:rPr>
          <w:b/>
          <w:szCs w:val="20"/>
          <w:u w:val="single"/>
        </w:rPr>
        <w:t xml:space="preserve">that differ in labeled weight, </w:t>
      </w:r>
      <w:proofErr w:type="gramStart"/>
      <w:r w:rsidRPr="00281428">
        <w:rPr>
          <w:b/>
          <w:szCs w:val="20"/>
          <w:u w:val="single"/>
        </w:rPr>
        <w:t>measure</w:t>
      </w:r>
      <w:proofErr w:type="gramEnd"/>
      <w:r w:rsidRPr="00281428">
        <w:rPr>
          <w:b/>
          <w:szCs w:val="20"/>
          <w:u w:val="single"/>
        </w:rPr>
        <w:t xml:space="preserve"> or volume</w:t>
      </w:r>
      <w:r w:rsidRPr="00281428">
        <w:rPr>
          <w:b/>
          <w:szCs w:val="24"/>
          <w:u w:val="single"/>
        </w:rPr>
        <w:t xml:space="preserve">.  </w:t>
      </w:r>
    </w:p>
    <w:p w14:paraId="6DFA862B" w14:textId="77777777" w:rsidR="00555755" w:rsidRPr="00281428" w:rsidRDefault="00555755" w:rsidP="00555755">
      <w:pPr>
        <w:numPr>
          <w:ilvl w:val="0"/>
          <w:numId w:val="101"/>
        </w:numPr>
        <w:spacing w:after="160" w:line="259" w:lineRule="auto"/>
        <w:jc w:val="left"/>
        <w:rPr>
          <w:b/>
          <w:szCs w:val="24"/>
          <w:u w:val="single"/>
        </w:rPr>
      </w:pPr>
      <w:r w:rsidRPr="00281428">
        <w:rPr>
          <w:b/>
          <w:szCs w:val="24"/>
          <w:u w:val="single"/>
        </w:rPr>
        <w:t xml:space="preserve">The procedure used is determined by using the labeled net contents.  </w:t>
      </w:r>
    </w:p>
    <w:p w14:paraId="3EFA1E7A" w14:textId="77777777" w:rsidR="00555755" w:rsidRPr="00281428" w:rsidRDefault="00555755" w:rsidP="00DF1D51">
      <w:pPr>
        <w:numPr>
          <w:ilvl w:val="1"/>
          <w:numId w:val="101"/>
        </w:numPr>
        <w:ind w:left="1080"/>
        <w:rPr>
          <w:b/>
          <w:szCs w:val="24"/>
          <w:u w:val="single"/>
        </w:rPr>
      </w:pPr>
      <w:r w:rsidRPr="00281428">
        <w:rPr>
          <w:rFonts w:ascii="Times New Roman Bold" w:hAnsi="Times New Roman Bold"/>
          <w:b/>
          <w:szCs w:val="24"/>
          <w:u w:val="double"/>
        </w:rPr>
        <w:t>Use Section 5.2. “Individual Package Quantity” if</w:t>
      </w:r>
      <w:r w:rsidRPr="00281428">
        <w:rPr>
          <w:b/>
          <w:szCs w:val="24"/>
          <w:u w:val="single"/>
        </w:rPr>
        <w:t xml:space="preserve"> a total net quantity of contents is not declared on the </w:t>
      </w:r>
      <w:r w:rsidRPr="00281428">
        <w:rPr>
          <w:b/>
          <w:szCs w:val="24"/>
          <w:u w:val="double"/>
        </w:rPr>
        <w:t>label of a multiunit or variety package of food for human consumption or meat or meat products from a USDA official establishment (See explanation in Section 5.2. of specific exemptions to requirement for a total net quantity statement).</w:t>
      </w:r>
    </w:p>
    <w:p w14:paraId="1C6FF5BB" w14:textId="77777777" w:rsidR="00555755" w:rsidRPr="00281428" w:rsidRDefault="00555755" w:rsidP="00555755">
      <w:pPr>
        <w:numPr>
          <w:ilvl w:val="1"/>
          <w:numId w:val="101"/>
        </w:numPr>
        <w:spacing w:after="160" w:line="259" w:lineRule="auto"/>
        <w:ind w:left="1080"/>
        <w:jc w:val="left"/>
        <w:rPr>
          <w:b/>
          <w:szCs w:val="24"/>
          <w:u w:val="single"/>
        </w:rPr>
      </w:pPr>
      <w:r w:rsidRPr="00281428">
        <w:rPr>
          <w:b/>
          <w:szCs w:val="24"/>
          <w:u w:val="double"/>
        </w:rPr>
        <w:t>Use Section 5.3. “Total Quantity” i</w:t>
      </w:r>
      <w:r w:rsidRPr="00281428">
        <w:rPr>
          <w:b/>
          <w:szCs w:val="24"/>
          <w:u w:val="single"/>
        </w:rPr>
        <w:t>f a total net quantity of contents is declared on the package.</w:t>
      </w:r>
    </w:p>
    <w:p w14:paraId="0E32BE62" w14:textId="744437B2" w:rsidR="00555755" w:rsidRPr="00281428" w:rsidRDefault="00555755" w:rsidP="00555755">
      <w:pPr>
        <w:ind w:left="360"/>
        <w:rPr>
          <w:b/>
          <w:szCs w:val="24"/>
          <w:u w:val="single"/>
        </w:rPr>
      </w:pPr>
      <w:r w:rsidRPr="00281428">
        <w:rPr>
          <w:b/>
          <w:szCs w:val="24"/>
          <w:u w:val="single"/>
        </w:rPr>
        <w:t xml:space="preserve">Note:  If the packages are labeled with additional quantity statements (i.e., dry volume, area, length, width, or thickness), added steps or, when proper, additional Total Quantity MAVs may be </w:t>
      </w:r>
      <w:r w:rsidRPr="00281428">
        <w:rPr>
          <w:b/>
          <w:szCs w:val="24"/>
          <w:u w:val="double"/>
        </w:rPr>
        <w:t>required in testing the accuracy of such additional quantity statements</w:t>
      </w:r>
      <w:r w:rsidRPr="00281428">
        <w:rPr>
          <w:b/>
          <w:szCs w:val="24"/>
          <w:u w:val="single"/>
        </w:rPr>
        <w:t xml:space="preserve">.  </w:t>
      </w:r>
    </w:p>
    <w:p w14:paraId="7819B041" w14:textId="189BA059" w:rsidR="004974E8" w:rsidRPr="00281428" w:rsidRDefault="004974E8" w:rsidP="00DF1D51">
      <w:pPr>
        <w:rPr>
          <w:bCs/>
          <w:szCs w:val="24"/>
        </w:rPr>
      </w:pPr>
      <w:r w:rsidRPr="00281428">
        <w:rPr>
          <w:bCs/>
          <w:szCs w:val="24"/>
        </w:rPr>
        <w:t xml:space="preserve">Changes to Section 5.2. will add additional language to clarify how to inspect packaged foods for human consumption. The CFR </w:t>
      </w:r>
      <w:proofErr w:type="gramStart"/>
      <w:r w:rsidRPr="00281428">
        <w:rPr>
          <w:bCs/>
          <w:szCs w:val="24"/>
        </w:rPr>
        <w:t>links</w:t>
      </w:r>
      <w:proofErr w:type="gramEnd"/>
      <w:r w:rsidRPr="00281428">
        <w:rPr>
          <w:bCs/>
          <w:szCs w:val="24"/>
        </w:rPr>
        <w:t xml:space="preserve"> </w:t>
      </w:r>
      <w:r w:rsidR="00EB2FB2" w:rsidRPr="00281428">
        <w:rPr>
          <w:bCs/>
          <w:szCs w:val="24"/>
        </w:rPr>
        <w:t>ar</w:t>
      </w:r>
      <w:r w:rsidRPr="00281428">
        <w:rPr>
          <w:bCs/>
          <w:szCs w:val="24"/>
        </w:rPr>
        <w:t xml:space="preserve">e hyperlinked to provide the inspector direct access </w:t>
      </w:r>
      <w:r w:rsidR="00EB2FB2" w:rsidRPr="00281428">
        <w:rPr>
          <w:bCs/>
          <w:szCs w:val="24"/>
        </w:rPr>
        <w:t>to the CFR information if they are using an online handbook</w:t>
      </w:r>
      <w:r w:rsidRPr="00281428">
        <w:rPr>
          <w:bCs/>
          <w:szCs w:val="24"/>
        </w:rPr>
        <w:t xml:space="preserve">.   </w:t>
      </w:r>
    </w:p>
    <w:p w14:paraId="4BBE78F6" w14:textId="77777777" w:rsidR="00555755" w:rsidRPr="00281428" w:rsidRDefault="00555755" w:rsidP="00555755">
      <w:pPr>
        <w:spacing w:before="100" w:beforeAutospacing="1"/>
        <w:rPr>
          <w:b/>
          <w:szCs w:val="24"/>
          <w:u w:val="single"/>
        </w:rPr>
      </w:pPr>
      <w:r w:rsidRPr="00281428">
        <w:rPr>
          <w:b/>
          <w:szCs w:val="24"/>
          <w:u w:val="single"/>
        </w:rPr>
        <w:t xml:space="preserve">5.2.  Individual Package Quantity </w:t>
      </w:r>
    </w:p>
    <w:p w14:paraId="7B502863" w14:textId="0C363B9E" w:rsidR="00EB2FB2" w:rsidRPr="00281428" w:rsidRDefault="00EB2FB2" w:rsidP="00EB2FB2">
      <w:pPr>
        <w:rPr>
          <w:b/>
          <w:szCs w:val="24"/>
          <w:u w:val="single"/>
        </w:rPr>
      </w:pPr>
      <w:r w:rsidRPr="00281428">
        <w:rPr>
          <w:b/>
          <w:szCs w:val="24"/>
          <w:u w:val="single"/>
        </w:rPr>
        <w:t xml:space="preserve">This procedure is used </w:t>
      </w:r>
      <w:r w:rsidRPr="00281428">
        <w:rPr>
          <w:b/>
          <w:szCs w:val="24"/>
          <w:u w:val="double"/>
        </w:rPr>
        <w:t>only for verifying the total content statement of open or transparent-wrapped multiunit packages of foods for human consumption or meat or meat products under the authority of FDA or USDA, respectively.  Under USDA FSIS regulations (</w:t>
      </w:r>
      <w:hyperlink r:id="rId16" w:history="1">
        <w:r w:rsidRPr="00281428">
          <w:rPr>
            <w:rStyle w:val="Hyperlink"/>
            <w:b/>
            <w:noProof w:val="0"/>
            <w:szCs w:val="24"/>
            <w:u w:val="double"/>
          </w:rPr>
          <w:t>9 CFR 317.2</w:t>
        </w:r>
      </w:hyperlink>
      <w:r w:rsidRPr="00281428">
        <w:rPr>
          <w:b/>
          <w:szCs w:val="24"/>
          <w:u w:val="double"/>
        </w:rPr>
        <w:t xml:space="preserve"> [h][12]) and FDA regulations (</w:t>
      </w:r>
      <w:hyperlink r:id="rId17" w:history="1">
        <w:r w:rsidRPr="00281428">
          <w:rPr>
            <w:rStyle w:val="Hyperlink"/>
            <w:b/>
            <w:noProof w:val="0"/>
            <w:szCs w:val="24"/>
            <w:u w:val="double"/>
          </w:rPr>
          <w:t xml:space="preserve">21 CFR 101.7 </w:t>
        </w:r>
      </w:hyperlink>
      <w:r w:rsidRPr="00281428">
        <w:rPr>
          <w:b/>
          <w:szCs w:val="24"/>
          <w:u w:val="double"/>
        </w:rPr>
        <w:t xml:space="preserve"> Chapter I [s]), such open multiunit packages that do not obscure the number of individual inner packages or the labeling of each individual inner package (compliant with all other location, type size, and applicable requirements) are not required to bear a total net quantity statement on the outside of the package</w:t>
      </w:r>
      <w:r w:rsidRPr="00281428">
        <w:rPr>
          <w:b/>
          <w:szCs w:val="24"/>
          <w:u w:val="single"/>
        </w:rPr>
        <w:t xml:space="preserve"> (see Figure </w:t>
      </w:r>
      <w:r w:rsidRPr="00281428">
        <w:rPr>
          <w:b/>
          <w:szCs w:val="20"/>
          <w:u w:val="single"/>
        </w:rPr>
        <w:t xml:space="preserve">1.  Open or Transparent Multiunit Package </w:t>
      </w:r>
      <w:r w:rsidRPr="00281428">
        <w:rPr>
          <w:b/>
          <w:szCs w:val="20"/>
          <w:u w:val="double"/>
        </w:rPr>
        <w:t>with Fully Visible Individual Quantity Declarations</w:t>
      </w:r>
      <w:r w:rsidRPr="00281428">
        <w:rPr>
          <w:b/>
          <w:szCs w:val="24"/>
          <w:u w:val="single"/>
        </w:rPr>
        <w:t xml:space="preserve">). </w:t>
      </w:r>
    </w:p>
    <w:p w14:paraId="40D3D0B0" w14:textId="58EFDC0D" w:rsidR="00555755" w:rsidRPr="00281428" w:rsidRDefault="00555755" w:rsidP="000E2DB3">
      <w:pPr>
        <w:rPr>
          <w:b/>
          <w:szCs w:val="24"/>
          <w:u w:val="single"/>
        </w:rPr>
      </w:pPr>
      <w:r w:rsidRPr="00281428">
        <w:rPr>
          <w:b/>
          <w:szCs w:val="24"/>
          <w:u w:val="single"/>
        </w:rPr>
        <w:t xml:space="preserve">The capture for </w:t>
      </w:r>
      <w:r w:rsidR="000E2DB3" w:rsidRPr="00281428">
        <w:rPr>
          <w:b/>
          <w:szCs w:val="24"/>
          <w:u w:val="single"/>
        </w:rPr>
        <w:t xml:space="preserve">Figure one should be clarified to read, </w:t>
      </w:r>
      <w:r w:rsidRPr="00281428">
        <w:rPr>
          <w:b/>
          <w:szCs w:val="24"/>
          <w:u w:val="single"/>
        </w:rPr>
        <w:t xml:space="preserve">Figure 1.  Open or Transparent Multiunit Package </w:t>
      </w:r>
      <w:bookmarkStart w:id="61" w:name="_Hlk62760347"/>
      <w:r w:rsidRPr="00281428">
        <w:rPr>
          <w:b/>
          <w:szCs w:val="24"/>
          <w:u w:val="single"/>
        </w:rPr>
        <w:t>(</w:t>
      </w:r>
      <w:r w:rsidRPr="00281428">
        <w:rPr>
          <w:b/>
          <w:szCs w:val="24"/>
          <w:u w:val="double"/>
        </w:rPr>
        <w:t>containing two rows of packages</w:t>
      </w:r>
      <w:r w:rsidRPr="00281428">
        <w:rPr>
          <w:b/>
          <w:szCs w:val="24"/>
          <w:u w:val="single"/>
        </w:rPr>
        <w:t xml:space="preserve">) </w:t>
      </w:r>
      <w:bookmarkEnd w:id="61"/>
      <w:r w:rsidRPr="00281428">
        <w:rPr>
          <w:b/>
          <w:szCs w:val="24"/>
          <w:u w:val="single"/>
        </w:rPr>
        <w:t xml:space="preserve">with </w:t>
      </w:r>
      <w:r w:rsidRPr="00281428">
        <w:rPr>
          <w:b/>
          <w:szCs w:val="24"/>
          <w:u w:val="double"/>
        </w:rPr>
        <w:t>Fully Visible</w:t>
      </w:r>
      <w:r w:rsidRPr="00281428">
        <w:rPr>
          <w:b/>
          <w:szCs w:val="24"/>
          <w:u w:val="single"/>
        </w:rPr>
        <w:t xml:space="preserve"> Individual Quantity Declarations</w:t>
      </w:r>
    </w:p>
    <w:p w14:paraId="25621E88" w14:textId="77777777" w:rsidR="000E2DB3" w:rsidRPr="00281428" w:rsidRDefault="000E2DB3" w:rsidP="00DF1D51">
      <w:pPr>
        <w:tabs>
          <w:tab w:val="left" w:pos="1080"/>
        </w:tabs>
        <w:spacing w:before="360"/>
        <w:ind w:left="720" w:hanging="360"/>
        <w:rPr>
          <w:b/>
          <w:szCs w:val="24"/>
          <w:u w:val="double"/>
        </w:rPr>
      </w:pPr>
      <w:r w:rsidRPr="00281428">
        <w:rPr>
          <w:b/>
          <w:szCs w:val="24"/>
          <w:u w:val="single"/>
        </w:rPr>
        <w:t>5.2.1.</w:t>
      </w:r>
      <w:r w:rsidRPr="00281428">
        <w:rPr>
          <w:b/>
          <w:szCs w:val="24"/>
        </w:rPr>
        <w:tab/>
      </w:r>
      <w:r w:rsidRPr="00281428">
        <w:rPr>
          <w:b/>
          <w:szCs w:val="24"/>
          <w:u w:val="single"/>
        </w:rPr>
        <w:t xml:space="preserve">Test Procedure for Multiunit Packages </w:t>
      </w:r>
      <w:r w:rsidRPr="00281428">
        <w:rPr>
          <w:b/>
          <w:szCs w:val="24"/>
          <w:u w:val="double"/>
        </w:rPr>
        <w:t>Exempt from Total Quantity Statement (See Section 5.2)</w:t>
      </w:r>
    </w:p>
    <w:p w14:paraId="002AABEC" w14:textId="13444410" w:rsidR="00555755" w:rsidRPr="00281428" w:rsidRDefault="000E2DB3" w:rsidP="00792552">
      <w:pPr>
        <w:rPr>
          <w:b/>
          <w:szCs w:val="20"/>
          <w:u w:val="single"/>
        </w:rPr>
      </w:pPr>
      <w:r w:rsidRPr="00281428">
        <w:rPr>
          <w:bCs/>
          <w:szCs w:val="24"/>
        </w:rPr>
        <w:t xml:space="preserve">Step 4 in this section should be clarified to read:  </w:t>
      </w:r>
      <w:r w:rsidRPr="00281428">
        <w:rPr>
          <w:b/>
          <w:szCs w:val="20"/>
          <w:u w:val="single"/>
        </w:rPr>
        <w:t xml:space="preserve">If minus package errors are found in the sample, the value of the MAV to be applied is determined by </w:t>
      </w:r>
      <w:r w:rsidRPr="00281428">
        <w:rPr>
          <w:b/>
          <w:szCs w:val="20"/>
          <w:u w:val="double"/>
        </w:rPr>
        <w:t>matching the labeled net</w:t>
      </w:r>
      <w:r w:rsidRPr="00281428">
        <w:rPr>
          <w:b/>
          <w:szCs w:val="20"/>
          <w:u w:val="single"/>
        </w:rPr>
        <w:t xml:space="preserve"> quantity for the individual inner packages </w:t>
      </w:r>
      <w:r w:rsidRPr="00281428">
        <w:rPr>
          <w:b/>
          <w:szCs w:val="20"/>
          <w:u w:val="double"/>
        </w:rPr>
        <w:t>to the applicable value in the appropriate MAV table</w:t>
      </w:r>
      <w:r w:rsidRPr="00281428">
        <w:rPr>
          <w:b/>
          <w:szCs w:val="20"/>
          <w:u w:val="single"/>
        </w:rPr>
        <w:t xml:space="preserve"> (see Appendix A “Tables”).</w:t>
      </w:r>
    </w:p>
    <w:p w14:paraId="63D660CF" w14:textId="4AFF8422" w:rsidR="00F6059C" w:rsidRPr="00281428" w:rsidRDefault="00F6059C" w:rsidP="00DF1D51">
      <w:pPr>
        <w:rPr>
          <w:bCs/>
          <w:szCs w:val="20"/>
        </w:rPr>
      </w:pPr>
      <w:bookmarkStart w:id="62" w:name="_Hlk63067199"/>
      <w:r w:rsidRPr="00281428">
        <w:rPr>
          <w:bCs/>
          <w:szCs w:val="20"/>
        </w:rPr>
        <w:t>Add a statement to Section 5.3.  Total Quantity to make it clear to the inspector how to handle a package that is not in compliance and due to a Packaging and Labeling Regulation violation</w:t>
      </w:r>
      <w:r w:rsidR="00857A9F">
        <w:rPr>
          <w:bCs/>
          <w:szCs w:val="20"/>
        </w:rPr>
        <w:t>:</w:t>
      </w:r>
      <w:r w:rsidRPr="00281428">
        <w:rPr>
          <w:bCs/>
          <w:szCs w:val="20"/>
        </w:rPr>
        <w:t xml:space="preserve"> </w:t>
      </w:r>
    </w:p>
    <w:bookmarkEnd w:id="62"/>
    <w:p w14:paraId="4A45FAE2" w14:textId="62200D38" w:rsidR="00F6059C" w:rsidRPr="00281428" w:rsidRDefault="00F6059C" w:rsidP="00792552">
      <w:pPr>
        <w:rPr>
          <w:b/>
          <w:szCs w:val="24"/>
          <w:u w:val="single"/>
        </w:rPr>
      </w:pPr>
      <w:r w:rsidRPr="00281428">
        <w:rPr>
          <w:b/>
          <w:bCs/>
          <w:szCs w:val="24"/>
          <w:u w:val="single"/>
        </w:rPr>
        <w:t xml:space="preserve">Before determining the MAV and proceeding with tests of the quantity of contents in any multiunit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w:t>
      </w:r>
      <w:r w:rsidRPr="00281428">
        <w:rPr>
          <w:b/>
          <w:bCs/>
          <w:szCs w:val="24"/>
          <w:u w:val="single"/>
        </w:rPr>
        <w:lastRenderedPageBreak/>
        <w:t>Labeling Regulation, requiring an accurate summing and statement of total quantity.  Do not test for net quantity determination.</w:t>
      </w:r>
    </w:p>
    <w:p w14:paraId="50D23B31" w14:textId="77777777" w:rsidR="007B0315" w:rsidRPr="00281428" w:rsidRDefault="007B0315" w:rsidP="00DF1D51">
      <w:pPr>
        <w:spacing w:before="100" w:beforeAutospacing="1"/>
        <w:jc w:val="left"/>
        <w:rPr>
          <w:b/>
          <w:szCs w:val="20"/>
          <w:u w:val="single"/>
        </w:rPr>
      </w:pPr>
      <w:r w:rsidRPr="00281428">
        <w:rPr>
          <w:b/>
          <w:szCs w:val="20"/>
          <w:u w:val="single"/>
        </w:rPr>
        <w:t>5.4.  Exceptions for Multiunit Packages</w:t>
      </w:r>
    </w:p>
    <w:p w14:paraId="2C35A7C2" w14:textId="0E67F92D" w:rsidR="007B0315" w:rsidRPr="00281428" w:rsidRDefault="007B0315" w:rsidP="00DF1D51">
      <w:pPr>
        <w:spacing w:before="100" w:beforeAutospacing="1"/>
        <w:ind w:left="720" w:hanging="360"/>
        <w:jc w:val="left"/>
        <w:rPr>
          <w:b/>
          <w:szCs w:val="20"/>
          <w:u w:val="single"/>
        </w:rPr>
      </w:pPr>
      <w:r w:rsidRPr="00281428">
        <w:rPr>
          <w:b/>
          <w:szCs w:val="20"/>
          <w:u w:val="single"/>
        </w:rPr>
        <w:t>5.4.1. Multiunit Packages with Only a Total Quantity Declaration</w:t>
      </w:r>
    </w:p>
    <w:p w14:paraId="6E5589F2" w14:textId="77777777" w:rsidR="0079403F" w:rsidRPr="00281428" w:rsidRDefault="0079403F" w:rsidP="0079403F">
      <w:pPr>
        <w:ind w:left="360"/>
        <w:rPr>
          <w:b/>
          <w:bCs/>
          <w:u w:val="single"/>
        </w:rPr>
      </w:pPr>
      <w:r w:rsidRPr="00281428">
        <w:rPr>
          <w:b/>
          <w:szCs w:val="20"/>
          <w:u w:val="single"/>
        </w:rPr>
        <w:t xml:space="preserve">NIST Handbook 130, Uniform Packaging and Labeling Regulation (UPLR), </w:t>
      </w:r>
      <w:r w:rsidRPr="00281428">
        <w:rPr>
          <w:b/>
          <w:bCs/>
          <w:u w:val="single"/>
        </w:rPr>
        <w:t xml:space="preserve">Section 10.4. “Multiunit Packages” states that when containing unlabeled individual packages and not intended for individual retail sale, the multiunit package only requires a total quantity declaration (see Figure 2.  Multiunit Package [three packages] with only a Total Quantity Declaration).  </w:t>
      </w:r>
      <w:r w:rsidRPr="00281428">
        <w:rPr>
          <w:b/>
          <w:bCs/>
          <w:u w:val="double"/>
        </w:rPr>
        <w:t>While not required,</w:t>
      </w:r>
      <w:r w:rsidRPr="00281428">
        <w:rPr>
          <w:b/>
          <w:bCs/>
          <w:u w:val="single"/>
        </w:rPr>
        <w:t xml:space="preserve"> UPLR, Section 10.4. “Multiunit Packages” does allow for multiunit packages to include an optional statement for the count of the individual inner packages </w:t>
      </w:r>
      <w:r w:rsidRPr="00281428">
        <w:rPr>
          <w:b/>
          <w:bCs/>
          <w:u w:val="double"/>
        </w:rPr>
        <w:t xml:space="preserve">despite their not being fully labeled or intended for individual retail </w:t>
      </w:r>
      <w:r w:rsidRPr="00281428">
        <w:rPr>
          <w:rFonts w:ascii="Times New Roman Bold" w:hAnsi="Times New Roman Bold"/>
          <w:b/>
          <w:bCs/>
          <w:dstrike/>
          <w:u w:val="double"/>
        </w:rPr>
        <w:t xml:space="preserve">sale </w:t>
      </w:r>
      <w:r w:rsidRPr="00281428">
        <w:rPr>
          <w:rFonts w:ascii="Times New Roman Bold" w:hAnsi="Times New Roman Bold"/>
          <w:b/>
          <w:bCs/>
          <w:dstrike/>
          <w:u w:val="single"/>
        </w:rPr>
        <w:t>even when the UPLR, Section 10.4. “Multiunit Packages” regulations do not require such a statement</w:t>
      </w:r>
      <w:r w:rsidRPr="00281428">
        <w:rPr>
          <w:b/>
          <w:bCs/>
          <w:u w:val="single"/>
        </w:rPr>
        <w:t>.</w:t>
      </w:r>
    </w:p>
    <w:p w14:paraId="38BE9BA9" w14:textId="77777777" w:rsidR="007B0315" w:rsidRPr="00281428" w:rsidRDefault="007B0315" w:rsidP="007B0315">
      <w:pPr>
        <w:spacing w:before="360"/>
        <w:rPr>
          <w:b/>
          <w:szCs w:val="24"/>
          <w:u w:val="single"/>
        </w:rPr>
      </w:pPr>
      <w:r w:rsidRPr="00281428">
        <w:rPr>
          <w:b/>
          <w:szCs w:val="24"/>
          <w:u w:val="single"/>
        </w:rPr>
        <w:t xml:space="preserve">5.5.  Test Procedure for </w:t>
      </w:r>
      <w:r w:rsidRPr="00281428">
        <w:rPr>
          <w:b/>
          <w:szCs w:val="24"/>
          <w:u w:val="double"/>
        </w:rPr>
        <w:t xml:space="preserve">Variety </w:t>
      </w:r>
      <w:r w:rsidRPr="00281428">
        <w:rPr>
          <w:b/>
          <w:szCs w:val="24"/>
          <w:u w:val="single"/>
        </w:rPr>
        <w:t xml:space="preserve">Packages </w:t>
      </w:r>
      <w:r w:rsidRPr="00281428">
        <w:rPr>
          <w:b/>
          <w:szCs w:val="24"/>
          <w:u w:val="double"/>
        </w:rPr>
        <w:t>Containing Individual Packages</w:t>
      </w:r>
      <w:r w:rsidRPr="00281428">
        <w:rPr>
          <w:b/>
          <w:szCs w:val="24"/>
          <w:u w:val="single"/>
        </w:rPr>
        <w:t xml:space="preserve"> with Varying Net Weights </w:t>
      </w:r>
    </w:p>
    <w:p w14:paraId="56E365FA" w14:textId="036684EE" w:rsidR="007B0315" w:rsidRPr="00281428" w:rsidRDefault="007B0315" w:rsidP="007B0315">
      <w:pPr>
        <w:ind w:hanging="29"/>
        <w:rPr>
          <w:szCs w:val="20"/>
        </w:rPr>
      </w:pPr>
      <w:r w:rsidRPr="00281428">
        <w:rPr>
          <w:b/>
          <w:szCs w:val="24"/>
          <w:u w:val="single"/>
        </w:rPr>
        <w:t xml:space="preserve">When a variety package with </w:t>
      </w:r>
      <w:r w:rsidRPr="00281428">
        <w:rPr>
          <w:b/>
          <w:szCs w:val="24"/>
          <w:u w:val="double"/>
        </w:rPr>
        <w:t>individual inner packages of</w:t>
      </w:r>
      <w:r w:rsidRPr="00281428">
        <w:rPr>
          <w:b/>
          <w:szCs w:val="24"/>
          <w:u w:val="single"/>
        </w:rPr>
        <w:t xml:space="preserve"> varying net weights is tested, the average tare weight (e.g., packaging from the individual inner packages and the outer package combined) is determined and a nominal gross weight is used to determine the error in the total quantity declaration.  </w:t>
      </w:r>
    </w:p>
    <w:p w14:paraId="3C9A44FF" w14:textId="223EC202" w:rsidR="007B0315" w:rsidRPr="00281428" w:rsidRDefault="007B0315" w:rsidP="007B0315">
      <w:bookmarkStart w:id="63" w:name="_Toc52199586"/>
      <w:r w:rsidRPr="00281428">
        <w:t>Change</w:t>
      </w:r>
      <w:r w:rsidR="00A87716" w:rsidRPr="00281428">
        <w:t>s</w:t>
      </w:r>
      <w:r w:rsidRPr="00281428">
        <w:t xml:space="preserve"> for B1: NET-19.</w:t>
      </w:r>
      <w:r w:rsidR="00A87716" w:rsidRPr="00281428">
        <w:t xml:space="preserve"> </w:t>
      </w:r>
      <w:r w:rsidRPr="00281428">
        <w:t>4</w:t>
      </w:r>
      <w:bookmarkEnd w:id="63"/>
      <w:r w:rsidRPr="00281428">
        <w:t xml:space="preserve"> appear below</w:t>
      </w:r>
      <w:r w:rsidR="001578CA">
        <w:t>:</w:t>
      </w:r>
    </w:p>
    <w:p w14:paraId="637BDC80" w14:textId="77777777" w:rsidR="007B0315" w:rsidRPr="00281428" w:rsidRDefault="007B0315" w:rsidP="007B0315">
      <w:pPr>
        <w:spacing w:after="320"/>
        <w:ind w:left="288"/>
        <w:rPr>
          <w:b/>
          <w:szCs w:val="24"/>
          <w:u w:val="single"/>
        </w:rPr>
      </w:pPr>
      <w:r w:rsidRPr="00281428">
        <w:rPr>
          <w:b/>
          <w:szCs w:val="24"/>
          <w:u w:val="single"/>
        </w:rPr>
        <w:t>Multiunit Package. -  A package containing two or more individual packages of the identical commodity, in the same quantity, intended to be sold as a multiunit package</w:t>
      </w:r>
    </w:p>
    <w:p w14:paraId="21C70C51" w14:textId="44592A04" w:rsidR="007B0315" w:rsidRPr="00281428" w:rsidRDefault="007B0315" w:rsidP="007B0315">
      <w:pPr>
        <w:spacing w:after="320"/>
        <w:ind w:left="288"/>
        <w:rPr>
          <w:b/>
          <w:szCs w:val="20"/>
          <w:u w:val="single"/>
        </w:rPr>
      </w:pPr>
      <w:r w:rsidRPr="00281428">
        <w:rPr>
          <w:b/>
          <w:szCs w:val="20"/>
          <w:u w:val="single"/>
        </w:rPr>
        <w:t xml:space="preserve">Variety Package. – A package intended for retail sale, containing two or more individual packages or units of similar, but not identical, commodities.  Commodities that are generically </w:t>
      </w:r>
      <w:r w:rsidRPr="00281428">
        <w:rPr>
          <w:b/>
          <w:szCs w:val="20"/>
          <w:u w:val="double"/>
        </w:rPr>
        <w:t>alike,</w:t>
      </w:r>
      <w:r w:rsidRPr="00281428">
        <w:rPr>
          <w:b/>
          <w:szCs w:val="20"/>
          <w:u w:val="single"/>
        </w:rPr>
        <w:t xml:space="preserve"> but that differ in weight, measure, volume, </w:t>
      </w:r>
      <w:proofErr w:type="gramStart"/>
      <w:r w:rsidRPr="00281428">
        <w:rPr>
          <w:rFonts w:ascii="Times New Roman Bold" w:hAnsi="Times New Roman Bold"/>
          <w:b/>
          <w:dstrike/>
          <w:szCs w:val="20"/>
        </w:rPr>
        <w:t>appearance</w:t>
      </w:r>
      <w:proofErr w:type="gramEnd"/>
      <w:r w:rsidRPr="00281428">
        <w:rPr>
          <w:b/>
          <w:szCs w:val="20"/>
          <w:u w:val="single"/>
        </w:rPr>
        <w:t xml:space="preserve"> </w:t>
      </w:r>
      <w:r w:rsidRPr="00281428">
        <w:rPr>
          <w:b/>
          <w:szCs w:val="20"/>
          <w:u w:val="double"/>
        </w:rPr>
        <w:t xml:space="preserve">or style variation (e.g., color, flavor, scent, etc.) </w:t>
      </w:r>
      <w:r w:rsidRPr="00281428">
        <w:rPr>
          <w:rFonts w:ascii="Times New Roman Bold" w:hAnsi="Times New Roman Bold"/>
          <w:b/>
          <w:dstrike/>
          <w:szCs w:val="20"/>
          <w:u w:val="single"/>
        </w:rPr>
        <w:t>or quality</w:t>
      </w:r>
      <w:r w:rsidRPr="00281428">
        <w:rPr>
          <w:b/>
          <w:szCs w:val="20"/>
          <w:u w:val="single"/>
        </w:rPr>
        <w:t>, are considered similar, but not identical.</w:t>
      </w:r>
    </w:p>
    <w:p w14:paraId="6C3055E4" w14:textId="77777777" w:rsidR="007B0315" w:rsidRPr="00281428" w:rsidRDefault="007B0315" w:rsidP="007B0315">
      <w:pPr>
        <w:ind w:left="288"/>
        <w:rPr>
          <w:b/>
          <w:szCs w:val="24"/>
          <w:u w:val="single"/>
        </w:rPr>
      </w:pPr>
      <w:r w:rsidRPr="00281428">
        <w:rPr>
          <w:b/>
          <w:szCs w:val="24"/>
          <w:u w:val="single"/>
        </w:rPr>
        <w:t xml:space="preserve">Total Quantity MAV. –  A calculated value used to determine if </w:t>
      </w:r>
      <w:r w:rsidRPr="00281428">
        <w:rPr>
          <w:b/>
          <w:szCs w:val="24"/>
          <w:u w:val="double"/>
        </w:rPr>
        <w:t>any</w:t>
      </w:r>
      <w:r w:rsidRPr="00281428">
        <w:rPr>
          <w:b/>
          <w:szCs w:val="24"/>
          <w:u w:val="single"/>
        </w:rPr>
        <w:t xml:space="preserve"> minus Total Quantity Package Error found in </w:t>
      </w:r>
      <w:r w:rsidRPr="00281428">
        <w:rPr>
          <w:b/>
          <w:szCs w:val="24"/>
          <w:u w:val="double"/>
        </w:rPr>
        <w:t>a</w:t>
      </w:r>
      <w:r w:rsidRPr="00281428">
        <w:rPr>
          <w:b/>
          <w:color w:val="FF0000"/>
          <w:szCs w:val="24"/>
          <w:u w:val="single"/>
        </w:rPr>
        <w:t xml:space="preserve"> </w:t>
      </w:r>
      <w:r w:rsidRPr="00281428">
        <w:rPr>
          <w:b/>
          <w:szCs w:val="24"/>
          <w:u w:val="single"/>
        </w:rPr>
        <w:t xml:space="preserve">multiunit </w:t>
      </w:r>
      <w:r w:rsidRPr="00281428">
        <w:rPr>
          <w:b/>
          <w:szCs w:val="24"/>
          <w:u w:val="double"/>
        </w:rPr>
        <w:t xml:space="preserve">or </w:t>
      </w:r>
      <w:r w:rsidRPr="00281428">
        <w:rPr>
          <w:b/>
          <w:szCs w:val="24"/>
          <w:u w:val="single"/>
        </w:rPr>
        <w:t xml:space="preserve">variety package </w:t>
      </w:r>
      <w:r w:rsidRPr="00281428">
        <w:rPr>
          <w:b/>
          <w:szCs w:val="24"/>
          <w:u w:val="double"/>
        </w:rPr>
        <w:t>is</w:t>
      </w:r>
      <w:r w:rsidRPr="00281428">
        <w:rPr>
          <w:b/>
          <w:szCs w:val="24"/>
          <w:u w:val="single"/>
        </w:rPr>
        <w:t xml:space="preserve"> unreasonable.  A Total Quantity MAV is based on the declared quantity and count of the individual inner packages.  It is determined by </w:t>
      </w:r>
      <w:r w:rsidRPr="00281428">
        <w:rPr>
          <w:b/>
          <w:szCs w:val="24"/>
          <w:u w:val="double"/>
        </w:rPr>
        <w:t>obtaining the applicable</w:t>
      </w:r>
      <w:r w:rsidRPr="00281428">
        <w:rPr>
          <w:b/>
          <w:szCs w:val="24"/>
          <w:u w:val="single"/>
        </w:rPr>
        <w:t xml:space="preserve"> MAV for each individual inner package quantity </w:t>
      </w:r>
      <w:r w:rsidRPr="00281428">
        <w:rPr>
          <w:b/>
          <w:szCs w:val="24"/>
          <w:u w:val="double"/>
        </w:rPr>
        <w:t>from the appropriate MAV table</w:t>
      </w:r>
      <w:r w:rsidRPr="00281428">
        <w:rPr>
          <w:b/>
          <w:szCs w:val="24"/>
          <w:u w:val="single"/>
        </w:rPr>
        <w:t xml:space="preserve"> (refer to Appendix A. “Tables”) </w:t>
      </w:r>
      <w:proofErr w:type="gramStart"/>
      <w:r w:rsidRPr="00281428">
        <w:rPr>
          <w:b/>
          <w:szCs w:val="24"/>
          <w:u w:val="single"/>
        </w:rPr>
        <w:t>and,</w:t>
      </w:r>
      <w:proofErr w:type="gramEnd"/>
      <w:r w:rsidRPr="00281428">
        <w:rPr>
          <w:b/>
          <w:szCs w:val="24"/>
          <w:u w:val="single"/>
        </w:rPr>
        <w:t xml:space="preserve"> then, calculating the “Total Quantity MAV” as follows: </w:t>
      </w:r>
    </w:p>
    <w:p w14:paraId="155BFD33" w14:textId="77777777" w:rsidR="007B0315" w:rsidRPr="00281428" w:rsidRDefault="007B0315" w:rsidP="002F3741">
      <w:pPr>
        <w:numPr>
          <w:ilvl w:val="0"/>
          <w:numId w:val="39"/>
        </w:numPr>
        <w:tabs>
          <w:tab w:val="left" w:pos="1080"/>
        </w:tabs>
        <w:spacing w:after="0" w:line="259" w:lineRule="auto"/>
        <w:ind w:left="1080"/>
        <w:jc w:val="left"/>
        <w:rPr>
          <w:b/>
          <w:i/>
          <w:szCs w:val="24"/>
          <w:u w:val="single"/>
        </w:rPr>
      </w:pPr>
      <w:r w:rsidRPr="00281428">
        <w:rPr>
          <w:b/>
          <w:szCs w:val="24"/>
          <w:u w:val="single"/>
        </w:rPr>
        <w:t xml:space="preserve">Multiunit Package:  </w:t>
      </w:r>
    </w:p>
    <w:p w14:paraId="050D3A43" w14:textId="40BFB7F8" w:rsidR="007B0315" w:rsidRPr="00281428" w:rsidRDefault="007B0315" w:rsidP="002F3741">
      <w:pPr>
        <w:tabs>
          <w:tab w:val="left" w:pos="900"/>
        </w:tabs>
        <w:ind w:left="1080"/>
        <w:rPr>
          <w:b/>
          <w:i/>
          <w:szCs w:val="24"/>
          <w:u w:val="single"/>
        </w:rPr>
      </w:pPr>
      <w:r w:rsidRPr="00281428">
        <w:rPr>
          <w:b/>
          <w:i/>
          <w:szCs w:val="24"/>
          <w:u w:val="single"/>
        </w:rPr>
        <w:t>Total Quantity MAV = Number of Individual Inner Packages × MAV for Individual Inner Package Quantity</w:t>
      </w:r>
    </w:p>
    <w:p w14:paraId="56381980" w14:textId="77777777" w:rsidR="007B0315" w:rsidRPr="00281428" w:rsidRDefault="007B0315" w:rsidP="002F3741">
      <w:pPr>
        <w:numPr>
          <w:ilvl w:val="0"/>
          <w:numId w:val="39"/>
        </w:numPr>
        <w:tabs>
          <w:tab w:val="left" w:pos="1080"/>
        </w:tabs>
        <w:spacing w:after="0" w:line="259" w:lineRule="auto"/>
        <w:ind w:left="1080"/>
        <w:jc w:val="left"/>
        <w:rPr>
          <w:b/>
          <w:szCs w:val="24"/>
          <w:u w:val="single"/>
        </w:rPr>
      </w:pPr>
      <w:r w:rsidRPr="00281428">
        <w:rPr>
          <w:b/>
          <w:iCs/>
          <w:szCs w:val="24"/>
          <w:u w:val="single"/>
        </w:rPr>
        <w:t>Variety Package:</w:t>
      </w:r>
    </w:p>
    <w:p w14:paraId="4137165F" w14:textId="77777777" w:rsidR="007B0315" w:rsidRPr="00281428" w:rsidRDefault="007B0315" w:rsidP="007B0315">
      <w:pPr>
        <w:ind w:left="1080"/>
        <w:jc w:val="left"/>
        <w:rPr>
          <w:b/>
          <w:i/>
          <w:iCs/>
          <w:szCs w:val="24"/>
          <w:u w:val="double"/>
        </w:rPr>
      </w:pPr>
      <w:r w:rsidRPr="00281428">
        <w:rPr>
          <w:b/>
          <w:i/>
          <w:iCs/>
          <w:szCs w:val="24"/>
          <w:u w:val="double"/>
        </w:rPr>
        <w:t>Total Quantity MAV = The sum of the applicable MAVs for all Individual Inner Packages</w:t>
      </w:r>
    </w:p>
    <w:p w14:paraId="1120BE86" w14:textId="3A14B160" w:rsidR="003A05C1" w:rsidRPr="00281428" w:rsidRDefault="008C765A" w:rsidP="00655343">
      <w:pPr>
        <w:rPr>
          <w:szCs w:val="20"/>
        </w:rPr>
      </w:pPr>
      <w:r w:rsidRPr="00281428">
        <w:rPr>
          <w:szCs w:val="20"/>
        </w:rPr>
        <w:t xml:space="preserve">Several regulators spoke in support </w:t>
      </w:r>
      <w:r w:rsidR="0079403F" w:rsidRPr="00281428">
        <w:rPr>
          <w:szCs w:val="20"/>
        </w:rPr>
        <w:t>of</w:t>
      </w:r>
      <w:r w:rsidR="008B7AD6" w:rsidRPr="00281428">
        <w:rPr>
          <w:szCs w:val="20"/>
        </w:rPr>
        <w:t xml:space="preserve"> having this item </w:t>
      </w:r>
      <w:r w:rsidR="00EB2FB2" w:rsidRPr="00281428">
        <w:rPr>
          <w:szCs w:val="20"/>
        </w:rPr>
        <w:t xml:space="preserve">further </w:t>
      </w:r>
      <w:r w:rsidR="008B7AD6" w:rsidRPr="00281428">
        <w:rPr>
          <w:szCs w:val="20"/>
        </w:rPr>
        <w:t xml:space="preserve">developed based upon </w:t>
      </w:r>
      <w:r w:rsidR="00B7251E">
        <w:rPr>
          <w:szCs w:val="20"/>
        </w:rPr>
        <w:t xml:space="preserve">comments from </w:t>
      </w:r>
      <w:r w:rsidR="008B7AD6" w:rsidRPr="00281428">
        <w:rPr>
          <w:szCs w:val="20"/>
        </w:rPr>
        <w:t xml:space="preserve">Mr. Floren.  They persuaded the Committee from removing </w:t>
      </w:r>
      <w:r w:rsidR="00EB2FB2" w:rsidRPr="00281428">
        <w:rPr>
          <w:szCs w:val="20"/>
        </w:rPr>
        <w:t xml:space="preserve">any of the </w:t>
      </w:r>
      <w:r w:rsidR="008B7AD6" w:rsidRPr="00281428">
        <w:rPr>
          <w:szCs w:val="20"/>
        </w:rPr>
        <w:t xml:space="preserve">Items from the </w:t>
      </w:r>
      <w:r w:rsidR="00EB2FB2" w:rsidRPr="00281428">
        <w:rPr>
          <w:szCs w:val="20"/>
        </w:rPr>
        <w:t xml:space="preserve">Block </w:t>
      </w:r>
      <w:r w:rsidR="008B7AD6" w:rsidRPr="00281428">
        <w:rPr>
          <w:szCs w:val="20"/>
        </w:rPr>
        <w:t xml:space="preserve">that were </w:t>
      </w:r>
      <w:r w:rsidR="00EB2FB2" w:rsidRPr="00281428">
        <w:rPr>
          <w:szCs w:val="20"/>
        </w:rPr>
        <w:t xml:space="preserve">deemed fully developed and ready for </w:t>
      </w:r>
      <w:r w:rsidR="008B7AD6" w:rsidRPr="00281428">
        <w:rPr>
          <w:szCs w:val="20"/>
        </w:rPr>
        <w:t>Voting status.  This will allow the item to move forward together since the language impacts the various sections.</w:t>
      </w:r>
    </w:p>
    <w:p w14:paraId="4FED0588" w14:textId="4411DF87" w:rsidR="003A05C1" w:rsidRPr="00281428" w:rsidRDefault="003A05C1" w:rsidP="00655343">
      <w:pPr>
        <w:rPr>
          <w:szCs w:val="20"/>
        </w:rPr>
      </w:pPr>
      <w:r w:rsidRPr="00281428">
        <w:rPr>
          <w:szCs w:val="20"/>
        </w:rPr>
        <w:t>Mr. Guay</w:t>
      </w:r>
      <w:r w:rsidR="008C765A" w:rsidRPr="00281428">
        <w:rPr>
          <w:szCs w:val="20"/>
        </w:rPr>
        <w:t xml:space="preserve"> (</w:t>
      </w:r>
      <w:r w:rsidR="00916EAF">
        <w:rPr>
          <w:szCs w:val="20"/>
        </w:rPr>
        <w:t>R</w:t>
      </w:r>
      <w:r w:rsidR="008C765A" w:rsidRPr="00281428">
        <w:rPr>
          <w:szCs w:val="20"/>
        </w:rPr>
        <w:t xml:space="preserve">etired) does like the intent of the proposal but struggles </w:t>
      </w:r>
      <w:r w:rsidR="002F3741" w:rsidRPr="00281428">
        <w:rPr>
          <w:szCs w:val="20"/>
        </w:rPr>
        <w:t xml:space="preserve">with removing </w:t>
      </w:r>
      <w:r w:rsidR="008C765A" w:rsidRPr="00281428">
        <w:rPr>
          <w:szCs w:val="20"/>
        </w:rPr>
        <w:t>language from the</w:t>
      </w:r>
      <w:r w:rsidRPr="00281428">
        <w:rPr>
          <w:szCs w:val="20"/>
        </w:rPr>
        <w:t xml:space="preserve"> definition</w:t>
      </w:r>
      <w:r w:rsidR="002F3741" w:rsidRPr="00281428">
        <w:rPr>
          <w:szCs w:val="20"/>
        </w:rPr>
        <w:t xml:space="preserve"> of a multiunit package.</w:t>
      </w:r>
      <w:r w:rsidR="00CD170E" w:rsidRPr="00281428">
        <w:rPr>
          <w:szCs w:val="20"/>
        </w:rPr>
        <w:t xml:space="preserve">  Currently this definition is well understood by industry.  Mr. Ed Coleman (</w:t>
      </w:r>
      <w:r w:rsidR="00C31503">
        <w:rPr>
          <w:szCs w:val="20"/>
        </w:rPr>
        <w:t>TN</w:t>
      </w:r>
      <w:r w:rsidR="00CD170E" w:rsidRPr="00281428">
        <w:rPr>
          <w:szCs w:val="20"/>
        </w:rPr>
        <w:t xml:space="preserve">) remarked that this test procedure appears to be a very involved process and questioned if this could only be done in a point of pack.  </w:t>
      </w:r>
      <w:r w:rsidR="008B7AD6" w:rsidRPr="00281428">
        <w:rPr>
          <w:szCs w:val="20"/>
        </w:rPr>
        <w:t>Mr. Coleman remarked their state w</w:t>
      </w:r>
      <w:r w:rsidR="00CD170E" w:rsidRPr="00281428">
        <w:rPr>
          <w:szCs w:val="20"/>
        </w:rPr>
        <w:t>ould normally do an audit test at retail locations</w:t>
      </w:r>
      <w:r w:rsidR="008B7AD6" w:rsidRPr="00281428">
        <w:rPr>
          <w:szCs w:val="20"/>
        </w:rPr>
        <w:t xml:space="preserve"> and he is</w:t>
      </w:r>
      <w:r w:rsidR="006B4890" w:rsidRPr="00281428">
        <w:rPr>
          <w:szCs w:val="20"/>
        </w:rPr>
        <w:t xml:space="preserve"> unsure how practical </w:t>
      </w:r>
      <w:r w:rsidR="00DF1D51" w:rsidRPr="00281428">
        <w:rPr>
          <w:szCs w:val="20"/>
        </w:rPr>
        <w:t xml:space="preserve">this procedure </w:t>
      </w:r>
      <w:r w:rsidR="006B4890" w:rsidRPr="00281428">
        <w:rPr>
          <w:szCs w:val="20"/>
        </w:rPr>
        <w:t>is.</w:t>
      </w:r>
    </w:p>
    <w:p w14:paraId="3E625C86" w14:textId="4BA38536" w:rsidR="006B4890" w:rsidRPr="00281428" w:rsidRDefault="006B4890" w:rsidP="00655343">
      <w:pPr>
        <w:rPr>
          <w:szCs w:val="20"/>
        </w:rPr>
      </w:pPr>
      <w:r w:rsidRPr="00281428">
        <w:rPr>
          <w:szCs w:val="20"/>
        </w:rPr>
        <w:lastRenderedPageBreak/>
        <w:t xml:space="preserve">During the Committee work session, there was limited time for the Committee to </w:t>
      </w:r>
      <w:r w:rsidR="004974E8" w:rsidRPr="00281428">
        <w:rPr>
          <w:szCs w:val="20"/>
        </w:rPr>
        <w:t>revise</w:t>
      </w:r>
      <w:r w:rsidRPr="00281428">
        <w:rPr>
          <w:szCs w:val="20"/>
        </w:rPr>
        <w:t xml:space="preserve"> the language</w:t>
      </w:r>
      <w:r w:rsidR="004974E8" w:rsidRPr="00281428">
        <w:rPr>
          <w:szCs w:val="20"/>
        </w:rPr>
        <w:t>.  The Committee approved the recommendations addressed by Mr. Floren and NIST and they are incorporated in the most recent language for consideration.</w:t>
      </w:r>
      <w:r w:rsidR="001578CA">
        <w:rPr>
          <w:szCs w:val="20"/>
        </w:rPr>
        <w:t xml:space="preserve">  </w:t>
      </w:r>
      <w:r w:rsidR="004974E8" w:rsidRPr="00281428">
        <w:rPr>
          <w:szCs w:val="20"/>
        </w:rPr>
        <w:t>The Committee is also recommending this language remain Informational status to obtain feedback from the Regional Associations.</w:t>
      </w:r>
      <w:r w:rsidRPr="00281428">
        <w:rPr>
          <w:szCs w:val="20"/>
        </w:rPr>
        <w:t xml:space="preserve"> </w:t>
      </w:r>
    </w:p>
    <w:bookmarkEnd w:id="11"/>
    <w:p w14:paraId="704DFFF1" w14:textId="77777777" w:rsidR="00511A28" w:rsidRPr="00281428" w:rsidRDefault="00511A28" w:rsidP="00511A28">
      <w:pPr>
        <w:keepNext/>
        <w:keepLines/>
        <w:spacing w:after="120"/>
        <w:rPr>
          <w:szCs w:val="20"/>
        </w:rPr>
      </w:pPr>
      <w:r w:rsidRPr="00281428">
        <w:rPr>
          <w:b/>
          <w:szCs w:val="20"/>
        </w:rPr>
        <w:t>Regional Association Comments:</w:t>
      </w:r>
    </w:p>
    <w:p w14:paraId="79D666D0" w14:textId="74A236B4" w:rsidR="003B1A9B" w:rsidRPr="00281428" w:rsidRDefault="003B1A9B" w:rsidP="003B1A9B">
      <w:pPr>
        <w:rPr>
          <w:szCs w:val="20"/>
          <w:u w:val="single"/>
        </w:rPr>
      </w:pPr>
      <w:r w:rsidRPr="00281428">
        <w:rPr>
          <w:szCs w:val="20"/>
          <w:u w:val="single"/>
        </w:rPr>
        <w:t>WWMA 2019 Annual Meeting:</w:t>
      </w:r>
      <w:r w:rsidRPr="00281428">
        <w:rPr>
          <w:szCs w:val="20"/>
        </w:rPr>
        <w:t xml:space="preserve">  </w:t>
      </w:r>
      <w:r w:rsidRPr="00281428">
        <w:rPr>
          <w:rFonts w:eastAsia="Times New Roman"/>
          <w:szCs w:val="24"/>
        </w:rPr>
        <w:t>Mr. Kurt Floren (L</w:t>
      </w:r>
      <w:r w:rsidR="00BB6216" w:rsidRPr="00281428">
        <w:rPr>
          <w:rFonts w:eastAsia="Times New Roman"/>
          <w:szCs w:val="24"/>
        </w:rPr>
        <w:t>os Angeles</w:t>
      </w:r>
      <w:r w:rsidRPr="00281428">
        <w:rPr>
          <w:rFonts w:eastAsia="Times New Roman"/>
          <w:szCs w:val="24"/>
        </w:rPr>
        <w:t xml:space="preserve"> Co</w:t>
      </w:r>
      <w:r w:rsidR="001578CA">
        <w:rPr>
          <w:rFonts w:eastAsia="Times New Roman"/>
          <w:szCs w:val="24"/>
        </w:rPr>
        <w:t>.</w:t>
      </w:r>
      <w:r w:rsidRPr="00281428">
        <w:rPr>
          <w:rFonts w:eastAsia="Times New Roman"/>
          <w:szCs w:val="24"/>
        </w:rPr>
        <w:t xml:space="preserve">, </w:t>
      </w:r>
      <w:r w:rsidR="001578CA">
        <w:rPr>
          <w:rFonts w:eastAsia="Times New Roman"/>
          <w:szCs w:val="24"/>
        </w:rPr>
        <w:t>CA</w:t>
      </w:r>
      <w:r w:rsidRPr="00281428">
        <w:rPr>
          <w:rFonts w:eastAsia="Times New Roman"/>
          <w:szCs w:val="24"/>
        </w:rPr>
        <w:t>) commented that he submitted his changes to the language to NIST/OWM.  Ms. Warfield (NIST OWM) will immediately forward to the three upcoming regional meetings, the updated language presented at the WWMA for inclusion in their regional reports.  Based off comments heard the WWMA supports the concept of this item and encourages NIST to include changes presented at the WWMA in developing this item.   The Committee recommends this item remain Developing.</w:t>
      </w:r>
    </w:p>
    <w:p w14:paraId="31332E27" w14:textId="1F673268" w:rsidR="003B1A9B" w:rsidRPr="00281428" w:rsidRDefault="003B1A9B" w:rsidP="003B1A9B">
      <w:pPr>
        <w:rPr>
          <w:rFonts w:eastAsia="Times New Roman"/>
          <w:szCs w:val="24"/>
        </w:rPr>
      </w:pPr>
      <w:r w:rsidRPr="00281428">
        <w:rPr>
          <w:szCs w:val="20"/>
          <w:u w:val="single"/>
        </w:rPr>
        <w:t>SWMA 2019 Annual Meeting:</w:t>
      </w:r>
      <w:r w:rsidRPr="00281428">
        <w:rPr>
          <w:szCs w:val="20"/>
        </w:rPr>
        <w:t xml:space="preserve">  </w:t>
      </w:r>
      <w:r w:rsidRPr="00281428">
        <w:rPr>
          <w:rFonts w:eastAsia="Times New Roman"/>
          <w:szCs w:val="24"/>
        </w:rPr>
        <w:t xml:space="preserve">In B1:NET 19.1. Section 1.2.4. there is </w:t>
      </w:r>
      <w:r w:rsidR="00BB6216" w:rsidRPr="00281428">
        <w:rPr>
          <w:rFonts w:eastAsia="Times New Roman"/>
          <w:szCs w:val="24"/>
        </w:rPr>
        <w:t>a sentence that appears</w:t>
      </w:r>
      <w:r w:rsidR="00EB2FB2" w:rsidRPr="00281428">
        <w:rPr>
          <w:rFonts w:eastAsia="Times New Roman"/>
          <w:szCs w:val="24"/>
        </w:rPr>
        <w:t xml:space="preserve"> to be duplicated in</w:t>
      </w:r>
      <w:r w:rsidRPr="00281428">
        <w:rPr>
          <w:rFonts w:eastAsia="Times New Roman"/>
          <w:szCs w:val="24"/>
        </w:rPr>
        <w:t xml:space="preserve"> the report</w:t>
      </w:r>
      <w:r w:rsidR="00EB2FB2" w:rsidRPr="00281428">
        <w:rPr>
          <w:rFonts w:eastAsia="Times New Roman"/>
          <w:szCs w:val="24"/>
        </w:rPr>
        <w:t>.   The</w:t>
      </w:r>
      <w:r w:rsidRPr="00281428">
        <w:rPr>
          <w:rFonts w:eastAsia="Times New Roman"/>
          <w:szCs w:val="24"/>
        </w:rPr>
        <w:t xml:space="preserve"> language appearing with </w:t>
      </w:r>
      <w:r w:rsidR="00A249B8" w:rsidRPr="00281428">
        <w:rPr>
          <w:rFonts w:eastAsia="Times New Roman"/>
          <w:szCs w:val="24"/>
        </w:rPr>
        <w:t>double strikethrough</w:t>
      </w:r>
      <w:r w:rsidRPr="00281428">
        <w:rPr>
          <w:rFonts w:eastAsia="Times New Roman"/>
          <w:szCs w:val="24"/>
        </w:rPr>
        <w:t xml:space="preserve"> below </w:t>
      </w:r>
      <w:r w:rsidR="00EB2FB2" w:rsidRPr="00281428">
        <w:rPr>
          <w:rFonts w:eastAsia="Times New Roman"/>
          <w:szCs w:val="24"/>
        </w:rPr>
        <w:t>should be</w:t>
      </w:r>
      <w:r w:rsidRPr="00281428">
        <w:rPr>
          <w:rFonts w:eastAsia="Times New Roman"/>
          <w:szCs w:val="24"/>
        </w:rPr>
        <w:t xml:space="preserve"> removed.</w:t>
      </w:r>
    </w:p>
    <w:p w14:paraId="137E59EC" w14:textId="77777777" w:rsidR="003B1A9B" w:rsidRPr="00281428" w:rsidRDefault="003B1A9B" w:rsidP="003B1A9B">
      <w:pPr>
        <w:ind w:left="360"/>
        <w:rPr>
          <w:rFonts w:eastAsia="Times New Roman"/>
          <w:b/>
          <w:szCs w:val="24"/>
        </w:rPr>
      </w:pPr>
      <w:r w:rsidRPr="00281428">
        <w:rPr>
          <w:rFonts w:eastAsia="Times New Roman"/>
          <w:b/>
          <w:szCs w:val="24"/>
        </w:rPr>
        <w:t>1.2.4.  Maximum Allowable Variation</w:t>
      </w:r>
    </w:p>
    <w:p w14:paraId="714C7EB5" w14:textId="77777777" w:rsidR="003B1A9B" w:rsidRPr="00281428" w:rsidRDefault="003B1A9B" w:rsidP="003B1A9B">
      <w:pPr>
        <w:ind w:left="360"/>
        <w:rPr>
          <w:rFonts w:eastAsia="Times New Roman"/>
          <w:szCs w:val="24"/>
        </w:rPr>
      </w:pPr>
      <w:r w:rsidRPr="00281428">
        <w:rPr>
          <w:rFonts w:eastAsia="Times New Roman"/>
          <w:szCs w:val="24"/>
        </w:rPr>
        <w:t xml:space="preserve">The limit of the “reasonable minus variation” for an under filled package is called a “Maximum Allowable Variation” (MAV).  An MAV is a deviation from the labeled weight, measure, or count of an individual package beyond which the deficiency is considered an unreasonable minus error.  </w:t>
      </w:r>
      <w:r w:rsidRPr="00281428">
        <w:rPr>
          <w:rFonts w:eastAsia="Times New Roman"/>
          <w:b/>
          <w:bCs/>
          <w:dstrike/>
          <w:szCs w:val="24"/>
        </w:rPr>
        <w:t>Each sampling plan limits the number of negative package errors permitted to be greater than the MAV. unreasonable minus error.</w:t>
      </w:r>
      <w:r w:rsidRPr="00281428">
        <w:rPr>
          <w:rFonts w:eastAsia="Times New Roman"/>
          <w:szCs w:val="24"/>
        </w:rPr>
        <w:t xml:space="preserve">  Each sampling plan limits the number of negative package errors permitted to be greater than the MAV.  </w:t>
      </w:r>
      <w:r w:rsidRPr="00281428">
        <w:rPr>
          <w:rFonts w:eastAsia="Times New Roman"/>
          <w:b/>
          <w:szCs w:val="24"/>
          <w:u w:val="single"/>
        </w:rPr>
        <w:t xml:space="preserve">Packages are offered for sale individually or in multiunit packages which may contain two or more individual inner packages.  When individual packages are </w:t>
      </w:r>
      <w:proofErr w:type="gramStart"/>
      <w:r w:rsidRPr="00281428">
        <w:rPr>
          <w:rFonts w:eastAsia="Times New Roman"/>
          <w:b/>
          <w:szCs w:val="24"/>
          <w:u w:val="single"/>
        </w:rPr>
        <w:t>tested</w:t>
      </w:r>
      <w:proofErr w:type="gramEnd"/>
      <w:r w:rsidRPr="00281428">
        <w:rPr>
          <w:rFonts w:eastAsia="Times New Roman"/>
          <w:b/>
          <w:szCs w:val="24"/>
          <w:u w:val="single"/>
        </w:rPr>
        <w:t xml:space="preserve"> the MAV is applied to each package in the sample which has a minus package error.  When a total quantity declaration on a multiunit or variety package is verified, and the MAV is not determined in terms of a percent of the labeled quantity, a “Total Quantity MAV” is compared to the minus Total Quantity Package Error(s) to determine if they are unreasonable. </w:t>
      </w:r>
    </w:p>
    <w:p w14:paraId="1EA5ED00" w14:textId="77777777" w:rsidR="003B1A9B" w:rsidRPr="00281428" w:rsidRDefault="003B1A9B" w:rsidP="00655343">
      <w:pPr>
        <w:rPr>
          <w:rFonts w:eastAsia="Times New Roman"/>
          <w:szCs w:val="24"/>
        </w:rPr>
      </w:pPr>
      <w:r w:rsidRPr="00281428">
        <w:rPr>
          <w:rFonts w:eastAsia="Times New Roman"/>
          <w:szCs w:val="24"/>
        </w:rPr>
        <w:t>In B1:NET19.2. the Header title needs to be amended to include 2.7.3. “Evaluation Results.”</w:t>
      </w:r>
    </w:p>
    <w:p w14:paraId="3984BCD5" w14:textId="3F8A8DC6" w:rsidR="003B1A9B" w:rsidRPr="00281428" w:rsidRDefault="003B1A9B" w:rsidP="003B1A9B">
      <w:pPr>
        <w:rPr>
          <w:szCs w:val="20"/>
        </w:rPr>
      </w:pPr>
      <w:r w:rsidRPr="00281428">
        <w:rPr>
          <w:rFonts w:eastAsia="Times New Roman"/>
          <w:szCs w:val="24"/>
        </w:rPr>
        <w:t xml:space="preserve">The SWMA is recommending that the submitter review the language for clarity.  In </w:t>
      </w:r>
      <w:r w:rsidR="00BB6216" w:rsidRPr="00281428">
        <w:rPr>
          <w:rFonts w:eastAsia="Times New Roman"/>
          <w:szCs w:val="24"/>
        </w:rPr>
        <w:t>I</w:t>
      </w:r>
      <w:r w:rsidRPr="00281428">
        <w:rPr>
          <w:rFonts w:eastAsia="Times New Roman"/>
          <w:szCs w:val="24"/>
        </w:rPr>
        <w:t>tem B1:NET-19.3 Section 5.1. the first sentence needs to be broken into separate sentences for clarity reasons</w:t>
      </w:r>
      <w:r w:rsidR="00A06034">
        <w:rPr>
          <w:rFonts w:eastAsia="Times New Roman"/>
          <w:szCs w:val="24"/>
        </w:rPr>
        <w:t xml:space="preserve">.  </w:t>
      </w:r>
      <w:r w:rsidRPr="00281428">
        <w:rPr>
          <w:rFonts w:eastAsia="Times New Roman"/>
          <w:szCs w:val="24"/>
        </w:rPr>
        <w:t>The Committee does believe this item has merit.  The Committee is requesting that the submitter continue to work to simplify the test procedure.  The Committee does not believe it is necessary to have Section 5.2. Individual Package Quantity.  For the reasons mentioned above the Committee is recommending this as a Developing item.</w:t>
      </w:r>
    </w:p>
    <w:p w14:paraId="344CFE56" w14:textId="22A4420A" w:rsidR="003B1A9B" w:rsidRDefault="003B1A9B">
      <w:pPr>
        <w:rPr>
          <w:rFonts w:eastAsia="Times New Roman"/>
          <w:szCs w:val="24"/>
        </w:rPr>
      </w:pPr>
      <w:r w:rsidRPr="00281428">
        <w:rPr>
          <w:szCs w:val="20"/>
          <w:u w:val="single"/>
        </w:rPr>
        <w:t>NEWMA 2019 Interim Meeting:</w:t>
      </w:r>
      <w:r w:rsidRPr="00281428">
        <w:rPr>
          <w:szCs w:val="20"/>
        </w:rPr>
        <w:t xml:space="preserve">  </w:t>
      </w:r>
      <w:r w:rsidRPr="00281428">
        <w:rPr>
          <w:rFonts w:eastAsia="Times New Roman"/>
          <w:szCs w:val="24"/>
        </w:rPr>
        <w:t xml:space="preserve">There were no comments heard during open hearings. The </w:t>
      </w:r>
      <w:r w:rsidR="00035942" w:rsidRPr="00281428">
        <w:rPr>
          <w:rFonts w:eastAsia="Times New Roman"/>
          <w:szCs w:val="24"/>
        </w:rPr>
        <w:t>C</w:t>
      </w:r>
      <w:r w:rsidRPr="00281428">
        <w:rPr>
          <w:rFonts w:eastAsia="Times New Roman"/>
          <w:szCs w:val="24"/>
        </w:rPr>
        <w:t>ommittee believes this item needs further vetting through the regions and PALS should continue to develop these items.</w:t>
      </w:r>
    </w:p>
    <w:p w14:paraId="128636ED" w14:textId="10411B82" w:rsidR="002A49DA" w:rsidRPr="002A49DA" w:rsidRDefault="002A49DA" w:rsidP="002A49DA">
      <w:pPr>
        <w:contextualSpacing/>
        <w:jc w:val="left"/>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rsidRPr="00CA7914">
        <w:t>.</w:t>
      </w:r>
    </w:p>
    <w:p w14:paraId="08C6039C" w14:textId="4127CB64" w:rsidR="003B1A9B" w:rsidRPr="00281428" w:rsidRDefault="003B1A9B">
      <w:pPr>
        <w:pStyle w:val="TableParagraph"/>
        <w:spacing w:after="240"/>
        <w:ind w:left="0" w:right="94"/>
        <w:jc w:val="both"/>
        <w:rPr>
          <w:w w:val="105"/>
          <w:sz w:val="20"/>
          <w:szCs w:val="20"/>
        </w:rPr>
      </w:pPr>
      <w:r w:rsidRPr="00281428">
        <w:rPr>
          <w:sz w:val="20"/>
          <w:szCs w:val="20"/>
          <w:u w:val="single"/>
        </w:rPr>
        <w:t>CWMA 20</w:t>
      </w:r>
      <w:r w:rsidR="00853F7C" w:rsidRPr="00281428">
        <w:rPr>
          <w:sz w:val="20"/>
          <w:szCs w:val="20"/>
          <w:u w:val="single"/>
        </w:rPr>
        <w:t>20</w:t>
      </w:r>
      <w:r w:rsidRPr="00281428">
        <w:rPr>
          <w:sz w:val="20"/>
          <w:szCs w:val="20"/>
          <w:u w:val="single"/>
        </w:rPr>
        <w:t xml:space="preserve"> Interim Meeting:</w:t>
      </w:r>
      <w:r w:rsidRPr="00281428">
        <w:rPr>
          <w:sz w:val="20"/>
          <w:szCs w:val="20"/>
        </w:rPr>
        <w:t xml:space="preserve">  </w:t>
      </w:r>
      <w:r w:rsidR="00853F7C" w:rsidRPr="00281428">
        <w:rPr>
          <w:sz w:val="20"/>
          <w:szCs w:val="20"/>
        </w:rPr>
        <w:t xml:space="preserve">Ms. </w:t>
      </w:r>
      <w:r w:rsidR="00CB5057">
        <w:rPr>
          <w:sz w:val="20"/>
          <w:szCs w:val="20"/>
        </w:rPr>
        <w:t xml:space="preserve">Lisa </w:t>
      </w:r>
      <w:r w:rsidR="00853F7C" w:rsidRPr="00281428">
        <w:rPr>
          <w:sz w:val="20"/>
          <w:szCs w:val="20"/>
        </w:rPr>
        <w:t>Warfield (NIST</w:t>
      </w:r>
      <w:r w:rsidR="00666439">
        <w:rPr>
          <w:sz w:val="20"/>
          <w:szCs w:val="20"/>
        </w:rPr>
        <w:t xml:space="preserve"> OWM</w:t>
      </w:r>
      <w:r w:rsidR="00853F7C" w:rsidRPr="00281428">
        <w:rPr>
          <w:sz w:val="20"/>
          <w:szCs w:val="20"/>
        </w:rPr>
        <w:t xml:space="preserve">) commented that this item has been on the agenda since 2019. </w:t>
      </w:r>
      <w:r w:rsidR="00CB5057">
        <w:rPr>
          <w:sz w:val="20"/>
          <w:szCs w:val="20"/>
        </w:rPr>
        <w:t xml:space="preserve"> Ms. Warfield</w:t>
      </w:r>
      <w:r w:rsidR="00853F7C" w:rsidRPr="00281428">
        <w:rPr>
          <w:sz w:val="20"/>
          <w:szCs w:val="20"/>
        </w:rPr>
        <w:t xml:space="preserve"> said that during development of this item, the only input received was a comment regarding the term multi-unit retail,</w:t>
      </w:r>
      <w:r w:rsidR="00853F7C" w:rsidRPr="00281428">
        <w:rPr>
          <w:spacing w:val="-36"/>
          <w:sz w:val="20"/>
          <w:szCs w:val="20"/>
        </w:rPr>
        <w:t xml:space="preserve"> </w:t>
      </w:r>
      <w:r w:rsidR="00853F7C" w:rsidRPr="00281428">
        <w:rPr>
          <w:sz w:val="20"/>
          <w:szCs w:val="20"/>
        </w:rPr>
        <w:t>which NIST does</w:t>
      </w:r>
      <w:r w:rsidR="00853F7C" w:rsidRPr="00281428">
        <w:rPr>
          <w:spacing w:val="13"/>
          <w:sz w:val="20"/>
          <w:szCs w:val="20"/>
        </w:rPr>
        <w:t xml:space="preserve"> </w:t>
      </w:r>
      <w:r w:rsidR="00853F7C" w:rsidRPr="00281428">
        <w:rPr>
          <w:sz w:val="20"/>
          <w:szCs w:val="20"/>
        </w:rPr>
        <w:t>not</w:t>
      </w:r>
      <w:r w:rsidR="00853F7C" w:rsidRPr="00281428">
        <w:rPr>
          <w:spacing w:val="13"/>
          <w:sz w:val="20"/>
          <w:szCs w:val="20"/>
        </w:rPr>
        <w:t xml:space="preserve"> </w:t>
      </w:r>
      <w:r w:rsidR="00853F7C" w:rsidRPr="00281428">
        <w:rPr>
          <w:sz w:val="20"/>
          <w:szCs w:val="20"/>
        </w:rPr>
        <w:t>object</w:t>
      </w:r>
      <w:r w:rsidR="00853F7C" w:rsidRPr="00281428">
        <w:rPr>
          <w:spacing w:val="13"/>
          <w:sz w:val="20"/>
          <w:szCs w:val="20"/>
        </w:rPr>
        <w:t xml:space="preserve"> </w:t>
      </w:r>
      <w:r w:rsidR="00853F7C" w:rsidRPr="00281428">
        <w:rPr>
          <w:sz w:val="20"/>
          <w:szCs w:val="20"/>
        </w:rPr>
        <w:t>to.</w:t>
      </w:r>
      <w:r w:rsidR="00853F7C" w:rsidRPr="00281428">
        <w:rPr>
          <w:spacing w:val="31"/>
          <w:sz w:val="20"/>
          <w:szCs w:val="20"/>
        </w:rPr>
        <w:t xml:space="preserve"> </w:t>
      </w:r>
      <w:r w:rsidR="00E771AD" w:rsidRPr="00281428">
        <w:rPr>
          <w:spacing w:val="31"/>
          <w:sz w:val="20"/>
          <w:szCs w:val="20"/>
        </w:rPr>
        <w:t xml:space="preserve"> </w:t>
      </w:r>
      <w:r w:rsidR="00CB5057">
        <w:rPr>
          <w:sz w:val="20"/>
          <w:szCs w:val="20"/>
        </w:rPr>
        <w:t>Ms. Warfield</w:t>
      </w:r>
      <w:r w:rsidR="00853F7C" w:rsidRPr="00281428">
        <w:rPr>
          <w:spacing w:val="14"/>
          <w:sz w:val="20"/>
          <w:szCs w:val="20"/>
        </w:rPr>
        <w:t xml:space="preserve"> </w:t>
      </w:r>
      <w:r w:rsidR="00853F7C" w:rsidRPr="00281428">
        <w:rPr>
          <w:sz w:val="20"/>
          <w:szCs w:val="20"/>
        </w:rPr>
        <w:t>explained</w:t>
      </w:r>
      <w:r w:rsidR="00853F7C" w:rsidRPr="00281428">
        <w:rPr>
          <w:spacing w:val="15"/>
          <w:sz w:val="20"/>
          <w:szCs w:val="20"/>
        </w:rPr>
        <w:t xml:space="preserve"> </w:t>
      </w:r>
      <w:r w:rsidR="00853F7C" w:rsidRPr="00281428">
        <w:rPr>
          <w:sz w:val="20"/>
          <w:szCs w:val="20"/>
        </w:rPr>
        <w:t>that</w:t>
      </w:r>
      <w:r w:rsidR="00853F7C" w:rsidRPr="00281428">
        <w:rPr>
          <w:spacing w:val="13"/>
          <w:sz w:val="20"/>
          <w:szCs w:val="20"/>
        </w:rPr>
        <w:t xml:space="preserve"> </w:t>
      </w:r>
      <w:r w:rsidR="00853F7C" w:rsidRPr="00281428">
        <w:rPr>
          <w:sz w:val="20"/>
          <w:szCs w:val="20"/>
        </w:rPr>
        <w:t>federal</w:t>
      </w:r>
      <w:r w:rsidR="00853F7C" w:rsidRPr="00281428">
        <w:rPr>
          <w:spacing w:val="13"/>
          <w:sz w:val="20"/>
          <w:szCs w:val="20"/>
        </w:rPr>
        <w:t xml:space="preserve"> </w:t>
      </w:r>
      <w:r w:rsidR="00853F7C" w:rsidRPr="00281428">
        <w:rPr>
          <w:sz w:val="20"/>
          <w:szCs w:val="20"/>
        </w:rPr>
        <w:t>agencies</w:t>
      </w:r>
      <w:r w:rsidR="00853F7C" w:rsidRPr="00281428">
        <w:rPr>
          <w:spacing w:val="14"/>
          <w:sz w:val="20"/>
          <w:szCs w:val="20"/>
        </w:rPr>
        <w:t xml:space="preserve"> </w:t>
      </w:r>
      <w:r w:rsidR="00853F7C" w:rsidRPr="00281428">
        <w:rPr>
          <w:sz w:val="20"/>
          <w:szCs w:val="20"/>
        </w:rPr>
        <w:t>have</w:t>
      </w:r>
      <w:r w:rsidR="00853F7C" w:rsidRPr="00281428">
        <w:rPr>
          <w:spacing w:val="14"/>
          <w:sz w:val="20"/>
          <w:szCs w:val="20"/>
        </w:rPr>
        <w:t xml:space="preserve"> </w:t>
      </w:r>
      <w:r w:rsidR="00853F7C" w:rsidRPr="00281428">
        <w:rPr>
          <w:sz w:val="20"/>
          <w:szCs w:val="20"/>
        </w:rPr>
        <w:t>different</w:t>
      </w:r>
      <w:r w:rsidR="00853F7C" w:rsidRPr="00281428">
        <w:rPr>
          <w:spacing w:val="13"/>
          <w:sz w:val="20"/>
          <w:szCs w:val="20"/>
        </w:rPr>
        <w:t xml:space="preserve"> </w:t>
      </w:r>
      <w:r w:rsidR="00853F7C" w:rsidRPr="00281428">
        <w:rPr>
          <w:sz w:val="20"/>
          <w:szCs w:val="20"/>
        </w:rPr>
        <w:t>definitions</w:t>
      </w:r>
      <w:r w:rsidR="00853F7C" w:rsidRPr="00281428">
        <w:rPr>
          <w:spacing w:val="12"/>
          <w:sz w:val="20"/>
          <w:szCs w:val="20"/>
        </w:rPr>
        <w:t xml:space="preserve"> </w:t>
      </w:r>
      <w:r w:rsidR="00853F7C" w:rsidRPr="00281428">
        <w:rPr>
          <w:sz w:val="20"/>
          <w:szCs w:val="20"/>
        </w:rPr>
        <w:t>for</w:t>
      </w:r>
      <w:r w:rsidR="00853F7C" w:rsidRPr="00281428">
        <w:rPr>
          <w:spacing w:val="15"/>
          <w:sz w:val="20"/>
          <w:szCs w:val="20"/>
        </w:rPr>
        <w:t xml:space="preserve"> </w:t>
      </w:r>
      <w:r w:rsidR="00853F7C" w:rsidRPr="00281428">
        <w:rPr>
          <w:sz w:val="20"/>
          <w:szCs w:val="20"/>
        </w:rPr>
        <w:t>the</w:t>
      </w:r>
      <w:r w:rsidR="00853F7C" w:rsidRPr="00281428">
        <w:rPr>
          <w:spacing w:val="11"/>
          <w:sz w:val="20"/>
          <w:szCs w:val="20"/>
        </w:rPr>
        <w:t xml:space="preserve"> </w:t>
      </w:r>
      <w:r w:rsidR="00853F7C" w:rsidRPr="00281428">
        <w:rPr>
          <w:sz w:val="20"/>
          <w:szCs w:val="20"/>
        </w:rPr>
        <w:t>term</w:t>
      </w:r>
      <w:r w:rsidR="00853F7C" w:rsidRPr="00281428">
        <w:rPr>
          <w:spacing w:val="14"/>
          <w:sz w:val="20"/>
          <w:szCs w:val="20"/>
        </w:rPr>
        <w:t xml:space="preserve"> </w:t>
      </w:r>
      <w:r w:rsidR="00853F7C" w:rsidRPr="00281428">
        <w:rPr>
          <w:sz w:val="20"/>
          <w:szCs w:val="20"/>
        </w:rPr>
        <w:t>“multi-unit.”</w:t>
      </w:r>
      <w:r w:rsidR="00853F7C" w:rsidRPr="00281428">
        <w:rPr>
          <w:spacing w:val="15"/>
          <w:sz w:val="20"/>
          <w:szCs w:val="20"/>
        </w:rPr>
        <w:t xml:space="preserve"> </w:t>
      </w:r>
      <w:r w:rsidR="00CB5057">
        <w:rPr>
          <w:sz w:val="20"/>
          <w:szCs w:val="20"/>
        </w:rPr>
        <w:t>Ms. Warfield</w:t>
      </w:r>
      <w:r w:rsidR="00853F7C" w:rsidRPr="00281428">
        <w:rPr>
          <w:sz w:val="20"/>
          <w:szCs w:val="20"/>
        </w:rPr>
        <w:t xml:space="preserve"> wants to get any additional feedback to be sure the language is clear, </w:t>
      </w:r>
      <w:r w:rsidR="00122363" w:rsidRPr="00281428">
        <w:rPr>
          <w:sz w:val="20"/>
          <w:szCs w:val="20"/>
        </w:rPr>
        <w:t>concise,</w:t>
      </w:r>
      <w:r w:rsidR="00853F7C" w:rsidRPr="00281428">
        <w:rPr>
          <w:sz w:val="20"/>
          <w:szCs w:val="20"/>
        </w:rPr>
        <w:t xml:space="preserve"> and fully vetted. </w:t>
      </w:r>
      <w:r w:rsidR="00CB5057">
        <w:rPr>
          <w:sz w:val="20"/>
          <w:szCs w:val="20"/>
        </w:rPr>
        <w:t xml:space="preserve"> </w:t>
      </w:r>
      <w:r w:rsidR="00853F7C" w:rsidRPr="00281428">
        <w:rPr>
          <w:sz w:val="20"/>
          <w:szCs w:val="20"/>
        </w:rPr>
        <w:t>The Committee believes this item is fully developed and is ready for Voting status</w:t>
      </w:r>
      <w:r w:rsidRPr="00281428">
        <w:rPr>
          <w:sz w:val="20"/>
          <w:szCs w:val="20"/>
        </w:rPr>
        <w:t>.</w:t>
      </w:r>
    </w:p>
    <w:p w14:paraId="0D82CC5F" w14:textId="696B00A4" w:rsidR="000A6363" w:rsidRPr="00281428" w:rsidRDefault="00E33621" w:rsidP="00E33621">
      <w:r w:rsidRPr="00281428">
        <w:rPr>
          <w:szCs w:val="20"/>
        </w:rPr>
        <w:t xml:space="preserve">Additional letters, presentation and data may have been submitted for consideration with this item.  Please refer to </w:t>
      </w:r>
      <w:hyperlink r:id="rId18" w:history="1">
        <w:r w:rsidR="00962E2A" w:rsidRPr="00A766AF">
          <w:rPr>
            <w:rStyle w:val="Hyperlink"/>
            <w:noProof w:val="0"/>
            <w:color w:val="0000FF"/>
          </w:rPr>
          <w:t>https://www.ncwm.com/publication-16</w:t>
        </w:r>
      </w:hyperlink>
      <w:r w:rsidRPr="00281428">
        <w:rPr>
          <w:szCs w:val="20"/>
        </w:rPr>
        <w:t xml:space="preserve"> to review these documents</w:t>
      </w:r>
      <w:r w:rsidR="000A6363" w:rsidRPr="00281428">
        <w:t>.</w:t>
      </w:r>
    </w:p>
    <w:p w14:paraId="3F137092" w14:textId="309806E7" w:rsidR="003C0C80" w:rsidRPr="00281428" w:rsidRDefault="00695F30" w:rsidP="00826B58">
      <w:pPr>
        <w:pStyle w:val="Heading1"/>
      </w:pPr>
      <w:bookmarkStart w:id="64" w:name="_Toc65741436"/>
      <w:r w:rsidRPr="00281428">
        <w:lastRenderedPageBreak/>
        <w:t>PAL</w:t>
      </w:r>
      <w:r w:rsidR="003C0C80" w:rsidRPr="00281428">
        <w:t xml:space="preserve"> – UNIFORM </w:t>
      </w:r>
      <w:r w:rsidR="00750C61" w:rsidRPr="00281428">
        <w:t xml:space="preserve">packaging and labeling </w:t>
      </w:r>
      <w:r w:rsidR="003C0C80" w:rsidRPr="00281428">
        <w:t>REGULATION</w:t>
      </w:r>
      <w:bookmarkEnd w:id="64"/>
    </w:p>
    <w:p w14:paraId="66254B29" w14:textId="4D1E63E7" w:rsidR="00233506" w:rsidRPr="00281428" w:rsidRDefault="00233506" w:rsidP="00826B58">
      <w:pPr>
        <w:pStyle w:val="ItemHeading"/>
        <w:tabs>
          <w:tab w:val="clear" w:pos="900"/>
          <w:tab w:val="left" w:pos="1440"/>
        </w:tabs>
        <w:ind w:left="1800" w:hanging="1800"/>
      </w:pPr>
      <w:bookmarkStart w:id="65" w:name="_Toc47960802"/>
      <w:bookmarkStart w:id="66" w:name="_Toc65741437"/>
      <w:bookmarkStart w:id="67" w:name="_Hlk61505009"/>
      <w:r w:rsidRPr="00281428">
        <w:t>PAL-21.1</w:t>
      </w:r>
      <w:r w:rsidRPr="00281428">
        <w:tab/>
      </w:r>
      <w:r w:rsidR="006B4890" w:rsidRPr="00281428">
        <w:t>V</w:t>
      </w:r>
      <w:r w:rsidRPr="00281428">
        <w:tab/>
      </w:r>
      <w:bookmarkEnd w:id="65"/>
      <w:r w:rsidR="008B5F57" w:rsidRPr="00281428">
        <w:t xml:space="preserve">Section </w:t>
      </w:r>
      <w:r w:rsidR="00D66E18" w:rsidRPr="00281428">
        <w:rPr>
          <w:u w:val="single"/>
        </w:rPr>
        <w:t>11.XX.</w:t>
      </w:r>
      <w:r w:rsidR="00DB6841" w:rsidRPr="00281428">
        <w:rPr>
          <w:u w:val="single"/>
        </w:rPr>
        <w:t xml:space="preserve"> Bacon</w:t>
      </w:r>
      <w:r w:rsidR="00E771AD" w:rsidRPr="00281428">
        <w:rPr>
          <w:u w:val="single"/>
        </w:rPr>
        <w:t xml:space="preserve"> and</w:t>
      </w:r>
      <w:r w:rsidR="006B4890" w:rsidRPr="00281428">
        <w:rPr>
          <w:u w:val="single"/>
        </w:rPr>
        <w:t xml:space="preserve"> 11.19. Margarine</w:t>
      </w:r>
      <w:bookmarkEnd w:id="66"/>
      <w:r w:rsidR="00E771AD" w:rsidRPr="00281428">
        <w:rPr>
          <w:u w:val="single"/>
        </w:rPr>
        <w:t xml:space="preserve"> </w:t>
      </w:r>
    </w:p>
    <w:p w14:paraId="3FC14E25" w14:textId="77777777" w:rsidR="00233506" w:rsidRPr="00281428" w:rsidRDefault="00233506" w:rsidP="00826B58">
      <w:pPr>
        <w:keepNext/>
        <w:keepLines/>
        <w:spacing w:after="0"/>
        <w:rPr>
          <w:b/>
          <w:bCs/>
        </w:rPr>
      </w:pPr>
      <w:r w:rsidRPr="00281428">
        <w:rPr>
          <w:b/>
          <w:bCs/>
        </w:rPr>
        <w:t xml:space="preserve">Source:  </w:t>
      </w:r>
    </w:p>
    <w:p w14:paraId="75DFAAA5" w14:textId="08BCC514" w:rsidR="00233506" w:rsidRPr="00281428" w:rsidRDefault="00DB6841" w:rsidP="00826B58">
      <w:pPr>
        <w:keepNext/>
        <w:keepLines/>
      </w:pPr>
      <w:r w:rsidRPr="00281428">
        <w:t>NIST Office of Weights and Measures</w:t>
      </w:r>
    </w:p>
    <w:p w14:paraId="20A2678A" w14:textId="77777777" w:rsidR="00233506" w:rsidRPr="00281428" w:rsidRDefault="00233506" w:rsidP="00826B58">
      <w:pPr>
        <w:keepNext/>
        <w:keepLines/>
        <w:spacing w:after="0"/>
        <w:rPr>
          <w:b/>
          <w:bCs/>
        </w:rPr>
      </w:pPr>
      <w:r w:rsidRPr="00281428">
        <w:rPr>
          <w:b/>
          <w:bCs/>
        </w:rPr>
        <w:t xml:space="preserve">Purpose:  </w:t>
      </w:r>
    </w:p>
    <w:p w14:paraId="116AECAE" w14:textId="37A63D72" w:rsidR="00233506" w:rsidRPr="00281428" w:rsidRDefault="00B40266" w:rsidP="00826B58">
      <w:pPr>
        <w:keepNext/>
        <w:keepLines/>
        <w:rPr>
          <w:szCs w:val="20"/>
        </w:rPr>
      </w:pPr>
      <w:r w:rsidRPr="00281428">
        <w:rPr>
          <w:szCs w:val="20"/>
        </w:rPr>
        <w:t>Add language for shingle sliced packed bacon to align with USDA Labeling requirements, 9 CFR § 317.2 - Labels: definition; required features.</w:t>
      </w:r>
    </w:p>
    <w:p w14:paraId="4E0696FE" w14:textId="77777777" w:rsidR="00233506" w:rsidRPr="00281428" w:rsidRDefault="00233506" w:rsidP="00826B58">
      <w:pPr>
        <w:keepNext/>
        <w:keepLines/>
        <w:spacing w:after="0"/>
        <w:rPr>
          <w:b/>
          <w:bCs/>
        </w:rPr>
      </w:pPr>
      <w:r w:rsidRPr="00281428">
        <w:rPr>
          <w:b/>
          <w:bCs/>
        </w:rPr>
        <w:t>Item Under Consideration:</w:t>
      </w:r>
    </w:p>
    <w:p w14:paraId="6DDB688F" w14:textId="246B6D3A" w:rsidR="00233506" w:rsidRPr="00281428" w:rsidRDefault="00233506" w:rsidP="00826B58">
      <w:pPr>
        <w:keepNext/>
        <w:keepLines/>
        <w:rPr>
          <w:bCs/>
        </w:rPr>
      </w:pPr>
      <w:r w:rsidRPr="00281428">
        <w:rPr>
          <w:bCs/>
        </w:rPr>
        <w:t xml:space="preserve">Amend Handbook </w:t>
      </w:r>
      <w:r w:rsidR="00B40266" w:rsidRPr="00281428">
        <w:rPr>
          <w:bCs/>
        </w:rPr>
        <w:t>130</w:t>
      </w:r>
      <w:r w:rsidRPr="00281428">
        <w:rPr>
          <w:bCs/>
        </w:rPr>
        <w:t xml:space="preserve">, </w:t>
      </w:r>
      <w:r w:rsidR="00A54078" w:rsidRPr="00281428">
        <w:rPr>
          <w:bCs/>
        </w:rPr>
        <w:t>Uniform Packaging and Labeling Regulation</w:t>
      </w:r>
      <w:r w:rsidR="008D4920" w:rsidRPr="00281428">
        <w:rPr>
          <w:bCs/>
        </w:rPr>
        <w:t xml:space="preserve"> as follows:</w:t>
      </w:r>
    </w:p>
    <w:p w14:paraId="5C33F395" w14:textId="67595911" w:rsidR="00021045" w:rsidRPr="00281428" w:rsidRDefault="00021045" w:rsidP="00A0373E">
      <w:pPr>
        <w:spacing w:after="60"/>
        <w:ind w:left="360"/>
        <w:rPr>
          <w:rFonts w:ascii="Times New Roman Bold" w:hAnsi="Times New Roman Bold"/>
          <w:b/>
          <w:bCs/>
          <w:szCs w:val="20"/>
          <w:u w:val="single"/>
        </w:rPr>
      </w:pPr>
      <w:r w:rsidRPr="00281428">
        <w:rPr>
          <w:b/>
          <w:bCs/>
          <w:szCs w:val="20"/>
          <w:u w:val="single"/>
        </w:rPr>
        <w:t xml:space="preserve">11.XX.  Bacon </w:t>
      </w:r>
      <w:r w:rsidRPr="00281428">
        <w:rPr>
          <w:rFonts w:ascii="Symbol" w:hAnsi="Symbol" w:cs="Calibri"/>
          <w:b/>
          <w:bCs/>
          <w:szCs w:val="20"/>
          <w:u w:val="single"/>
        </w:rPr>
        <w:t></w:t>
      </w:r>
      <w:r w:rsidRPr="00281428">
        <w:rPr>
          <w:rFonts w:ascii="Symbol" w:hAnsi="Symbol" w:cs="Calibri"/>
          <w:b/>
          <w:bCs/>
          <w:szCs w:val="20"/>
          <w:u w:val="single"/>
        </w:rPr>
        <w:t></w:t>
      </w:r>
      <w:r w:rsidRPr="00281428">
        <w:rPr>
          <w:rFonts w:ascii="Symbol" w:hAnsi="Symbol" w:cs="Calibri"/>
          <w:b/>
          <w:bCs/>
          <w:szCs w:val="20"/>
          <w:u w:val="single"/>
        </w:rPr>
        <w:t></w:t>
      </w:r>
      <w:r w:rsidRPr="00281428">
        <w:rPr>
          <w:b/>
          <w:bCs/>
          <w:szCs w:val="20"/>
          <w:u w:val="single"/>
        </w:rPr>
        <w:t>Bacon packaged as sliced shingles in rectangular packages shall be exempt from the requirement in this regulation for location (see Section 8.1.1. Location) of the net quantity declaration</w:t>
      </w:r>
      <w:r w:rsidRPr="00281428">
        <w:rPr>
          <w:rFonts w:ascii="Times New Roman Bold" w:hAnsi="Times New Roman Bold"/>
          <w:b/>
          <w:bCs/>
          <w:szCs w:val="20"/>
          <w:u w:val="single"/>
        </w:rPr>
        <w:t>.  The statement of net quantity shall appear in a clear and conspicuous manner on the principal display panel. (see 9 CFR 317.2)</w:t>
      </w:r>
    </w:p>
    <w:p w14:paraId="69BAC115" w14:textId="6CB8E147" w:rsidR="00A0373E" w:rsidRPr="00281428" w:rsidRDefault="00A0373E" w:rsidP="00655343">
      <w:pPr>
        <w:ind w:left="360"/>
        <w:rPr>
          <w:b/>
          <w:bCs/>
          <w:szCs w:val="20"/>
          <w:u w:val="double"/>
        </w:rPr>
      </w:pPr>
      <w:r w:rsidRPr="00281428">
        <w:rPr>
          <w:rFonts w:ascii="Times New Roman Bold" w:hAnsi="Times New Roman Bold"/>
          <w:b/>
          <w:bCs/>
          <w:szCs w:val="20"/>
          <w:u w:val="single"/>
        </w:rPr>
        <w:t>(Added 20XX)</w:t>
      </w:r>
    </w:p>
    <w:p w14:paraId="2B2AFF76" w14:textId="31CE82F2" w:rsidR="00E771AD" w:rsidRPr="00281428" w:rsidRDefault="00E771AD" w:rsidP="00655343">
      <w:pPr>
        <w:spacing w:after="60"/>
        <w:ind w:left="360"/>
        <w:rPr>
          <w:bCs/>
        </w:rPr>
      </w:pPr>
      <w:r w:rsidRPr="00281428">
        <w:rPr>
          <w:b/>
        </w:rPr>
        <w:t xml:space="preserve">11.19 Margarine. </w:t>
      </w:r>
      <w:r w:rsidRPr="00281428">
        <w:rPr>
          <w:rFonts w:ascii="Symbol" w:hAnsi="Symbol"/>
          <w:b/>
        </w:rPr>
        <w:t></w:t>
      </w:r>
      <w:r w:rsidRPr="00281428">
        <w:rPr>
          <w:b/>
        </w:rPr>
        <w:t xml:space="preserve"> </w:t>
      </w:r>
      <w:r w:rsidRPr="00281428">
        <w:t>Margarine in 1 lb rectangular packages, except for packages containing whipped or soft margarine or packages containing more than four sticks, shall be exempt from the requirement in this regulation for location (see Section 8.1.1. Location) of the net quantity.</w:t>
      </w:r>
      <w:r w:rsidR="00021045" w:rsidRPr="00281428">
        <w:t xml:space="preserve"> </w:t>
      </w:r>
      <w:r w:rsidRPr="00281428">
        <w:t xml:space="preserve"> </w:t>
      </w:r>
      <w:r w:rsidRPr="00281428">
        <w:rPr>
          <w:b/>
          <w:u w:val="single"/>
        </w:rPr>
        <w:t>The statement of net quantity shall appear in a clear and conspicuous manner on the principal display panel. (see 9 CFR 317.2)</w:t>
      </w:r>
    </w:p>
    <w:p w14:paraId="3B1EE69D" w14:textId="20FF166C" w:rsidR="00E771AD" w:rsidRPr="00281428" w:rsidRDefault="00E771AD" w:rsidP="00A249B8">
      <w:pPr>
        <w:spacing w:before="40"/>
        <w:ind w:left="360"/>
        <w:rPr>
          <w:b/>
          <w:bCs/>
        </w:rPr>
      </w:pPr>
      <w:r w:rsidRPr="00281428">
        <w:rPr>
          <w:b/>
          <w:bCs/>
        </w:rPr>
        <w:t>(</w:t>
      </w:r>
      <w:r w:rsidRPr="00281428">
        <w:t xml:space="preserve">Amended 1978, </w:t>
      </w:r>
      <w:r w:rsidRPr="00281428">
        <w:rPr>
          <w:b/>
          <w:bCs/>
          <w:u w:val="single"/>
        </w:rPr>
        <w:t>and</w:t>
      </w:r>
      <w:r w:rsidRPr="00281428">
        <w:t xml:space="preserve"> 1993,</w:t>
      </w:r>
      <w:r w:rsidRPr="00281428">
        <w:rPr>
          <w:b/>
          <w:bCs/>
        </w:rPr>
        <w:t xml:space="preserve"> </w:t>
      </w:r>
      <w:r w:rsidRPr="00281428">
        <w:rPr>
          <w:b/>
          <w:bCs/>
          <w:u w:val="single"/>
        </w:rPr>
        <w:t>and 20XX</w:t>
      </w:r>
      <w:r w:rsidRPr="00281428">
        <w:rPr>
          <w:b/>
          <w:bCs/>
        </w:rPr>
        <w:t>)</w:t>
      </w:r>
    </w:p>
    <w:p w14:paraId="050C354B" w14:textId="77777777" w:rsidR="00233506" w:rsidRPr="00281428" w:rsidRDefault="00233506" w:rsidP="00123E2B">
      <w:pPr>
        <w:spacing w:after="0"/>
      </w:pPr>
      <w:r w:rsidRPr="00281428">
        <w:rPr>
          <w:b/>
        </w:rPr>
        <w:t>Previous Action:</w:t>
      </w:r>
    </w:p>
    <w:p w14:paraId="40654401" w14:textId="77777777" w:rsidR="00233506" w:rsidRPr="00281428" w:rsidRDefault="00233506" w:rsidP="00A249B8">
      <w:pPr>
        <w:pStyle w:val="ListParagraph"/>
        <w:numPr>
          <w:ilvl w:val="0"/>
          <w:numId w:val="54"/>
        </w:numPr>
        <w:contextualSpacing/>
      </w:pPr>
      <w:r w:rsidRPr="00281428">
        <w:t>N/A</w:t>
      </w:r>
    </w:p>
    <w:p w14:paraId="07EEB854" w14:textId="77777777" w:rsidR="00233506" w:rsidRPr="00281428" w:rsidRDefault="00233506" w:rsidP="00123E2B">
      <w:pPr>
        <w:spacing w:after="0"/>
        <w:rPr>
          <w:b/>
        </w:rPr>
      </w:pPr>
      <w:r w:rsidRPr="00281428">
        <w:rPr>
          <w:b/>
        </w:rPr>
        <w:t>Original Justification:</w:t>
      </w:r>
    </w:p>
    <w:p w14:paraId="36B4A1C9" w14:textId="22BCA05A" w:rsidR="00FA63D9" w:rsidRPr="00281428" w:rsidRDefault="00C204C4" w:rsidP="00A249B8">
      <w:pPr>
        <w:spacing w:before="40"/>
        <w:rPr>
          <w:szCs w:val="20"/>
        </w:rPr>
      </w:pPr>
      <w:r w:rsidRPr="00281428">
        <w:rPr>
          <w:szCs w:val="20"/>
        </w:rPr>
        <w:t xml:space="preserve">This </w:t>
      </w:r>
      <w:r w:rsidR="00D03521" w:rsidRPr="00281428">
        <w:rPr>
          <w:szCs w:val="20"/>
        </w:rPr>
        <w:t>will a</w:t>
      </w:r>
      <w:r w:rsidR="00FA63D9" w:rsidRPr="00281428">
        <w:rPr>
          <w:szCs w:val="20"/>
        </w:rPr>
        <w:t xml:space="preserve">lign </w:t>
      </w:r>
      <w:r w:rsidR="00D03521" w:rsidRPr="00281428">
        <w:rPr>
          <w:szCs w:val="20"/>
        </w:rPr>
        <w:t xml:space="preserve">the Handbook 130 model regulation </w:t>
      </w:r>
      <w:r w:rsidR="00FA63D9" w:rsidRPr="00281428">
        <w:rPr>
          <w:szCs w:val="20"/>
        </w:rPr>
        <w:t>with USDA/FSIS requirements for labeling of sliced shingle packaged bacon as referenced in 9 CFR § 317.2 - Labels: definition; required features.</w:t>
      </w:r>
      <w:r w:rsidR="007E73EA" w:rsidRPr="00281428">
        <w:rPr>
          <w:szCs w:val="20"/>
        </w:rPr>
        <w:t xml:space="preserve">  </w:t>
      </w:r>
      <w:r w:rsidR="007347DD" w:rsidRPr="00281428">
        <w:rPr>
          <w:szCs w:val="20"/>
        </w:rPr>
        <w:t>It states:</w:t>
      </w:r>
    </w:p>
    <w:p w14:paraId="73372DB0" w14:textId="40052B69" w:rsidR="00233506" w:rsidRPr="00281428" w:rsidRDefault="00FA63D9" w:rsidP="00A249B8">
      <w:pPr>
        <w:spacing w:before="40"/>
        <w:ind w:left="450"/>
        <w:rPr>
          <w:szCs w:val="20"/>
        </w:rPr>
      </w:pPr>
      <w:r w:rsidRPr="00281428">
        <w:rPr>
          <w:szCs w:val="20"/>
        </w:rPr>
        <w:t>(v) Sliced shingle packed bacon in rectangular packages is exempt from the requirements of paragraphs (h)(3) and (h)(5) of this section regarding the placement of the statement of the net quantity of contents within the bottom 30 percent of the principal display panel, and that the statement be expressed both in ounces and in pounds, if the statement appears in a conspicuous manner on the principal display panel.</w:t>
      </w:r>
    </w:p>
    <w:p w14:paraId="215F3390" w14:textId="3BC598F7" w:rsidR="00F70A82" w:rsidRPr="00281428" w:rsidRDefault="0065545C" w:rsidP="007202F9">
      <w:pPr>
        <w:spacing w:before="40" w:after="0"/>
        <w:jc w:val="center"/>
        <w:rPr>
          <w:szCs w:val="20"/>
        </w:rPr>
      </w:pPr>
      <w:r w:rsidRPr="00281428">
        <w:rPr>
          <w:noProof/>
          <w:szCs w:val="20"/>
        </w:rPr>
        <w:drawing>
          <wp:inline distT="0" distB="0" distL="0" distR="0" wp14:anchorId="068F0308" wp14:editId="6A181B90">
            <wp:extent cx="1733550" cy="1787525"/>
            <wp:effectExtent l="0" t="0" r="0" b="0"/>
            <wp:docPr id="5" name="Picture 5" descr="Photo of bacon that has a shingled sliced app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15845"/>
                    <a:stretch/>
                  </pic:blipFill>
                  <pic:spPr bwMode="auto">
                    <a:xfrm>
                      <a:off x="0" y="0"/>
                      <a:ext cx="1733550" cy="1787525"/>
                    </a:xfrm>
                    <a:prstGeom prst="rect">
                      <a:avLst/>
                    </a:prstGeom>
                    <a:noFill/>
                    <a:ln>
                      <a:noFill/>
                    </a:ln>
                    <a:extLst>
                      <a:ext uri="{53640926-AAD7-44D8-BBD7-CCE9431645EC}">
                        <a14:shadowObscured xmlns:a14="http://schemas.microsoft.com/office/drawing/2010/main"/>
                      </a:ext>
                    </a:extLst>
                  </pic:spPr>
                </pic:pic>
              </a:graphicData>
            </a:graphic>
          </wp:inline>
        </w:drawing>
      </w:r>
    </w:p>
    <w:p w14:paraId="7B4EA614" w14:textId="5E469DD6" w:rsidR="00F70A82" w:rsidRPr="00281428" w:rsidRDefault="007202F9" w:rsidP="00F70A82">
      <w:pPr>
        <w:spacing w:before="40"/>
        <w:jc w:val="center"/>
        <w:rPr>
          <w:szCs w:val="20"/>
        </w:rPr>
      </w:pPr>
      <w:r w:rsidRPr="00281428">
        <w:rPr>
          <w:szCs w:val="20"/>
        </w:rPr>
        <w:t>Example of Sliced Shingle Packed Bacon</w:t>
      </w:r>
    </w:p>
    <w:p w14:paraId="26E09BC5" w14:textId="0D4E8684" w:rsidR="00233506" w:rsidRPr="00281428" w:rsidRDefault="00233506" w:rsidP="00A249B8">
      <w:r w:rsidRPr="00281428">
        <w:t xml:space="preserve">The submitter requested </w:t>
      </w:r>
      <w:r w:rsidR="00E771AD" w:rsidRPr="00281428">
        <w:t xml:space="preserve">Voting </w:t>
      </w:r>
      <w:r w:rsidRPr="00281428">
        <w:t xml:space="preserve">status for this </w:t>
      </w:r>
      <w:r w:rsidR="00E771AD" w:rsidRPr="00281428">
        <w:t>I</w:t>
      </w:r>
      <w:r w:rsidRPr="00281428">
        <w:t>tem in 2021.</w:t>
      </w:r>
    </w:p>
    <w:p w14:paraId="11C49E86" w14:textId="77777777" w:rsidR="00233506" w:rsidRPr="00281428" w:rsidRDefault="00233506" w:rsidP="00123E2B">
      <w:pPr>
        <w:rPr>
          <w:b/>
        </w:rPr>
      </w:pPr>
      <w:r w:rsidRPr="00281428">
        <w:rPr>
          <w:b/>
        </w:rPr>
        <w:lastRenderedPageBreak/>
        <w:t>Arguments in Favor:</w:t>
      </w:r>
    </w:p>
    <w:p w14:paraId="3F0238DF" w14:textId="1D997D34" w:rsidR="00233506" w:rsidRPr="00281428" w:rsidRDefault="00233506" w:rsidP="00123E2B">
      <w:pPr>
        <w:spacing w:after="0"/>
        <w:ind w:left="720"/>
        <w:rPr>
          <w:bCs/>
        </w:rPr>
      </w:pPr>
      <w:r w:rsidRPr="00281428">
        <w:rPr>
          <w:b/>
        </w:rPr>
        <w:t>Regulatory:</w:t>
      </w:r>
      <w:r w:rsidR="00E771AD" w:rsidRPr="00281428">
        <w:rPr>
          <w:b/>
        </w:rPr>
        <w:t xml:space="preserve">  </w:t>
      </w:r>
    </w:p>
    <w:p w14:paraId="534C93B5" w14:textId="76707345" w:rsidR="00233506" w:rsidRPr="00281428" w:rsidRDefault="0018372F" w:rsidP="00A249B8">
      <w:pPr>
        <w:pStyle w:val="ListParagraph"/>
        <w:numPr>
          <w:ilvl w:val="0"/>
          <w:numId w:val="52"/>
        </w:numPr>
        <w:spacing w:line="259" w:lineRule="auto"/>
        <w:ind w:left="1080"/>
        <w:contextualSpacing/>
      </w:pPr>
      <w:r w:rsidRPr="00281428">
        <w:t>Many regulators voiced their support for this item so that the handbook aligns with federal regulations.</w:t>
      </w:r>
    </w:p>
    <w:p w14:paraId="53031D72" w14:textId="66E3997D" w:rsidR="0018372F" w:rsidRPr="00281428" w:rsidRDefault="0018372F" w:rsidP="00655343">
      <w:pPr>
        <w:pStyle w:val="ListParagraph"/>
        <w:numPr>
          <w:ilvl w:val="0"/>
          <w:numId w:val="52"/>
        </w:numPr>
        <w:spacing w:line="259" w:lineRule="auto"/>
        <w:ind w:left="1080"/>
        <w:contextualSpacing/>
      </w:pPr>
      <w:r w:rsidRPr="00281428">
        <w:t>Regulators also support the inclusion for the changes to Section 11.19. Margarine</w:t>
      </w:r>
      <w:r w:rsidR="00D66E18" w:rsidRPr="00281428">
        <w:t>.</w:t>
      </w:r>
    </w:p>
    <w:p w14:paraId="3BCB78A5" w14:textId="77777777" w:rsidR="00233506" w:rsidRPr="00281428" w:rsidRDefault="00233506" w:rsidP="00655343">
      <w:pPr>
        <w:spacing w:after="0"/>
        <w:ind w:left="720"/>
        <w:rPr>
          <w:b/>
        </w:rPr>
      </w:pPr>
      <w:r w:rsidRPr="00281428">
        <w:rPr>
          <w:b/>
        </w:rPr>
        <w:t>Industry:</w:t>
      </w:r>
    </w:p>
    <w:p w14:paraId="07E02F61" w14:textId="6B1BA2A0" w:rsidR="00233506" w:rsidRPr="00281428" w:rsidRDefault="0018372F" w:rsidP="00655343">
      <w:pPr>
        <w:pStyle w:val="ListParagraph"/>
        <w:numPr>
          <w:ilvl w:val="0"/>
          <w:numId w:val="52"/>
        </w:numPr>
        <w:spacing w:line="259" w:lineRule="auto"/>
        <w:ind w:left="1080"/>
        <w:contextualSpacing/>
      </w:pPr>
      <w:r w:rsidRPr="00281428">
        <w:t>None heard</w:t>
      </w:r>
    </w:p>
    <w:p w14:paraId="3E86631F" w14:textId="77777777" w:rsidR="00233506" w:rsidRPr="00281428" w:rsidRDefault="00233506" w:rsidP="00655343">
      <w:pPr>
        <w:spacing w:after="0"/>
        <w:ind w:left="720"/>
        <w:rPr>
          <w:b/>
        </w:rPr>
      </w:pPr>
      <w:r w:rsidRPr="00281428">
        <w:rPr>
          <w:b/>
        </w:rPr>
        <w:t>Advisory:</w:t>
      </w:r>
    </w:p>
    <w:p w14:paraId="44956FA8" w14:textId="0F2BD5A9" w:rsidR="00233506" w:rsidRPr="00281428" w:rsidRDefault="0018372F" w:rsidP="00655343">
      <w:pPr>
        <w:pStyle w:val="ListParagraph"/>
        <w:numPr>
          <w:ilvl w:val="0"/>
          <w:numId w:val="52"/>
        </w:numPr>
        <w:spacing w:line="259" w:lineRule="auto"/>
        <w:ind w:left="1080"/>
        <w:contextualSpacing/>
      </w:pPr>
      <w:r w:rsidRPr="00281428">
        <w:t xml:space="preserve">Ms. Warfield (NIST OWM) informed membership that NEWMA and CWMA were the only two regions to discuss Section 11.19 Margarine and they were both in full support.  </w:t>
      </w:r>
    </w:p>
    <w:p w14:paraId="33E9603E" w14:textId="77777777" w:rsidR="00233506" w:rsidRPr="00281428" w:rsidRDefault="00233506" w:rsidP="00233506">
      <w:pPr>
        <w:rPr>
          <w:b/>
        </w:rPr>
      </w:pPr>
      <w:r w:rsidRPr="00281428">
        <w:rPr>
          <w:b/>
        </w:rPr>
        <w:t>Arguments Against:</w:t>
      </w:r>
    </w:p>
    <w:p w14:paraId="1B1DE6B2" w14:textId="77777777" w:rsidR="00233506" w:rsidRPr="00281428" w:rsidRDefault="00233506" w:rsidP="00233506">
      <w:pPr>
        <w:spacing w:after="0"/>
        <w:ind w:left="720"/>
        <w:rPr>
          <w:b/>
        </w:rPr>
      </w:pPr>
      <w:r w:rsidRPr="00281428">
        <w:rPr>
          <w:b/>
        </w:rPr>
        <w:t>Regulatory:</w:t>
      </w:r>
    </w:p>
    <w:p w14:paraId="6527E8AB" w14:textId="3A813F3B" w:rsidR="00233506" w:rsidRPr="00281428" w:rsidRDefault="0018372F" w:rsidP="00233506">
      <w:pPr>
        <w:pStyle w:val="ListParagraph"/>
        <w:numPr>
          <w:ilvl w:val="0"/>
          <w:numId w:val="53"/>
        </w:numPr>
        <w:spacing w:line="259" w:lineRule="auto"/>
        <w:ind w:left="1080"/>
        <w:contextualSpacing/>
        <w:jc w:val="left"/>
      </w:pPr>
      <w:r w:rsidRPr="00281428">
        <w:t>No Comments</w:t>
      </w:r>
    </w:p>
    <w:p w14:paraId="4715D631" w14:textId="77777777" w:rsidR="00233506" w:rsidRPr="00281428" w:rsidRDefault="00233506" w:rsidP="00233506">
      <w:pPr>
        <w:spacing w:after="0"/>
        <w:ind w:left="720"/>
        <w:rPr>
          <w:b/>
        </w:rPr>
      </w:pPr>
      <w:r w:rsidRPr="00281428">
        <w:rPr>
          <w:b/>
        </w:rPr>
        <w:t>Industry:</w:t>
      </w:r>
    </w:p>
    <w:p w14:paraId="2BC6E91F" w14:textId="51E1520B" w:rsidR="00233506" w:rsidRPr="00281428" w:rsidRDefault="0018372F" w:rsidP="00233506">
      <w:pPr>
        <w:pStyle w:val="ListParagraph"/>
        <w:numPr>
          <w:ilvl w:val="0"/>
          <w:numId w:val="53"/>
        </w:numPr>
        <w:spacing w:line="259" w:lineRule="auto"/>
        <w:ind w:left="1080"/>
        <w:contextualSpacing/>
        <w:jc w:val="left"/>
      </w:pPr>
      <w:r w:rsidRPr="00281428">
        <w:t>No Comments</w:t>
      </w:r>
    </w:p>
    <w:p w14:paraId="08EA2381" w14:textId="77777777" w:rsidR="00233506" w:rsidRPr="00281428" w:rsidRDefault="00233506" w:rsidP="00233506">
      <w:pPr>
        <w:spacing w:after="0"/>
        <w:ind w:left="720"/>
        <w:rPr>
          <w:b/>
        </w:rPr>
      </w:pPr>
      <w:r w:rsidRPr="00281428">
        <w:rPr>
          <w:b/>
        </w:rPr>
        <w:t>Advisory:</w:t>
      </w:r>
    </w:p>
    <w:p w14:paraId="1960CC28" w14:textId="017FD4FA" w:rsidR="00233506" w:rsidRPr="00281428" w:rsidRDefault="0018372F" w:rsidP="00233506">
      <w:pPr>
        <w:pStyle w:val="ListParagraph"/>
        <w:numPr>
          <w:ilvl w:val="0"/>
          <w:numId w:val="53"/>
        </w:numPr>
        <w:spacing w:line="259" w:lineRule="auto"/>
        <w:ind w:left="1080"/>
        <w:contextualSpacing/>
        <w:jc w:val="left"/>
      </w:pPr>
      <w:r w:rsidRPr="00281428">
        <w:t>No Comments</w:t>
      </w:r>
    </w:p>
    <w:p w14:paraId="3184C82A" w14:textId="77777777" w:rsidR="00233506" w:rsidRPr="00281428" w:rsidRDefault="00233506" w:rsidP="00233506">
      <w:pPr>
        <w:spacing w:after="0"/>
        <w:rPr>
          <w:b/>
        </w:rPr>
      </w:pPr>
      <w:r w:rsidRPr="00281428">
        <w:rPr>
          <w:b/>
        </w:rPr>
        <w:t>Item Development:</w:t>
      </w:r>
    </w:p>
    <w:p w14:paraId="4DFFBE7C" w14:textId="03F3BA47" w:rsidR="00233506" w:rsidRPr="00281428" w:rsidRDefault="001377BB" w:rsidP="00233506">
      <w:r>
        <w:t>Not Applicable.</w:t>
      </w:r>
    </w:p>
    <w:p w14:paraId="32923814" w14:textId="77777777" w:rsidR="00A0373E" w:rsidRPr="00281428" w:rsidRDefault="00A0373E" w:rsidP="00A0373E">
      <w:pPr>
        <w:spacing w:after="0"/>
      </w:pPr>
      <w:r w:rsidRPr="00281428">
        <w:rPr>
          <w:b/>
          <w:bCs/>
        </w:rPr>
        <w:t>Background/Discussion</w:t>
      </w:r>
      <w:r w:rsidRPr="00281428">
        <w:t>:</w:t>
      </w:r>
    </w:p>
    <w:p w14:paraId="0DA8767E" w14:textId="339F7589" w:rsidR="00A0373E" w:rsidRPr="00281428" w:rsidRDefault="00B957D8" w:rsidP="00A13B4E">
      <w:r w:rsidRPr="00B957D8">
        <w:rPr>
          <w:u w:val="single"/>
        </w:rPr>
        <w:t xml:space="preserve">NCWM </w:t>
      </w:r>
      <w:r w:rsidR="001377BB">
        <w:rPr>
          <w:u w:val="single"/>
        </w:rPr>
        <w:t xml:space="preserve">2021 </w:t>
      </w:r>
      <w:r w:rsidRPr="00B957D8">
        <w:rPr>
          <w:u w:val="single"/>
        </w:rPr>
        <w:t>Interim Meeting:</w:t>
      </w:r>
      <w:r>
        <w:t xml:space="preserve"> </w:t>
      </w:r>
      <w:r w:rsidR="00A0373E" w:rsidRPr="00281428">
        <w:t xml:space="preserve">The Committee heard support to move both the bacon and margarine together as one item.   There is no conflict with this language since it is extracted from a </w:t>
      </w:r>
      <w:r w:rsidR="00EB2FB2" w:rsidRPr="00281428">
        <w:t xml:space="preserve">federal </w:t>
      </w:r>
      <w:r w:rsidR="00A0373E" w:rsidRPr="00281428">
        <w:t xml:space="preserve">CFR.  The Committee recommended the original item under consideration be </w:t>
      </w:r>
      <w:r w:rsidR="00EB2FB2" w:rsidRPr="00281428">
        <w:t xml:space="preserve">also include the language modification for </w:t>
      </w:r>
      <w:r w:rsidR="00A0373E" w:rsidRPr="00281428">
        <w:t xml:space="preserve">Section 11.14. Margarine.   </w:t>
      </w:r>
    </w:p>
    <w:p w14:paraId="7CEE22E0" w14:textId="77777777" w:rsidR="00A00E0F" w:rsidRPr="00281428" w:rsidRDefault="00A00E0F" w:rsidP="00A00E0F">
      <w:pPr>
        <w:keepNext/>
        <w:keepLines/>
        <w:spacing w:after="120"/>
        <w:rPr>
          <w:szCs w:val="20"/>
        </w:rPr>
      </w:pPr>
      <w:r w:rsidRPr="00281428">
        <w:rPr>
          <w:b/>
          <w:szCs w:val="20"/>
        </w:rPr>
        <w:t>Regional Association Comments:</w:t>
      </w:r>
    </w:p>
    <w:p w14:paraId="34285C08" w14:textId="3B432EAD" w:rsidR="00853F7C" w:rsidRPr="00281428" w:rsidRDefault="00853F7C" w:rsidP="00853F7C">
      <w:pPr>
        <w:rPr>
          <w:rFonts w:eastAsia="Times New Roman"/>
          <w:szCs w:val="24"/>
        </w:rPr>
      </w:pPr>
      <w:r w:rsidRPr="00281428">
        <w:rPr>
          <w:u w:val="single"/>
        </w:rPr>
        <w:t>WWMA 2020 Annual Meeting:</w:t>
      </w:r>
      <w:r w:rsidRPr="00281428">
        <w:rPr>
          <w:b/>
          <w:bCs/>
        </w:rPr>
        <w:t xml:space="preserve">  </w:t>
      </w:r>
      <w:r w:rsidRPr="00281428">
        <w:rPr>
          <w:rFonts w:eastAsia="Times New Roman"/>
          <w:szCs w:val="24"/>
        </w:rPr>
        <w:t>Ms. Lisa Warfield</w:t>
      </w:r>
      <w:r w:rsidR="007B089E" w:rsidRPr="00281428">
        <w:rPr>
          <w:rFonts w:eastAsia="Times New Roman"/>
          <w:szCs w:val="24"/>
        </w:rPr>
        <w:t xml:space="preserve"> (</w:t>
      </w:r>
      <w:r w:rsidRPr="00281428">
        <w:rPr>
          <w:rFonts w:eastAsia="Times New Roman"/>
          <w:szCs w:val="24"/>
        </w:rPr>
        <w:t>NIST OWM</w:t>
      </w:r>
      <w:r w:rsidR="007B089E" w:rsidRPr="00281428">
        <w:rPr>
          <w:rFonts w:eastAsia="Times New Roman"/>
          <w:szCs w:val="24"/>
        </w:rPr>
        <w:t xml:space="preserve">, </w:t>
      </w:r>
      <w:r w:rsidR="00A13B4E" w:rsidRPr="00281428">
        <w:rPr>
          <w:rFonts w:eastAsia="Times New Roman"/>
          <w:szCs w:val="24"/>
        </w:rPr>
        <w:t>s</w:t>
      </w:r>
      <w:r w:rsidRPr="00281428">
        <w:rPr>
          <w:rFonts w:eastAsia="Times New Roman"/>
          <w:szCs w:val="24"/>
        </w:rPr>
        <w:t xml:space="preserve">ubmitter) </w:t>
      </w:r>
      <w:r w:rsidR="007B089E" w:rsidRPr="00281428">
        <w:rPr>
          <w:rFonts w:eastAsia="Times New Roman"/>
          <w:szCs w:val="24"/>
        </w:rPr>
        <w:t>p</w:t>
      </w:r>
      <w:r w:rsidRPr="00281428">
        <w:rPr>
          <w:rFonts w:eastAsia="Times New Roman"/>
          <w:szCs w:val="24"/>
        </w:rPr>
        <w:t>rovided testimony as to the purpose of th</w:t>
      </w:r>
      <w:r w:rsidR="00EB2FB2" w:rsidRPr="00281428">
        <w:rPr>
          <w:rFonts w:eastAsia="Times New Roman"/>
          <w:szCs w:val="24"/>
        </w:rPr>
        <w:t>is</w:t>
      </w:r>
      <w:r w:rsidRPr="00281428">
        <w:rPr>
          <w:rFonts w:eastAsia="Times New Roman"/>
          <w:szCs w:val="24"/>
        </w:rPr>
        <w:t xml:space="preserve"> proposal, which is to harmonize Handbook 130 model regulation pertaining to labeling of sliced shingle packaged bacon with USDA/FSIS requirements.  The Committee received comments from Mr. Kurt Floren (</w:t>
      </w:r>
      <w:r w:rsidR="00A0373E" w:rsidRPr="00281428">
        <w:rPr>
          <w:rFonts w:eastAsia="Times New Roman"/>
          <w:szCs w:val="24"/>
        </w:rPr>
        <w:t xml:space="preserve">Los Angeles </w:t>
      </w:r>
      <w:r w:rsidRPr="00281428">
        <w:rPr>
          <w:rFonts w:eastAsia="Times New Roman"/>
          <w:szCs w:val="24"/>
        </w:rPr>
        <w:t>Co</w:t>
      </w:r>
      <w:r w:rsidR="00286112">
        <w:rPr>
          <w:rFonts w:eastAsia="Times New Roman"/>
          <w:szCs w:val="24"/>
        </w:rPr>
        <w:t>.</w:t>
      </w:r>
      <w:r w:rsidRPr="00281428">
        <w:rPr>
          <w:rFonts w:eastAsia="Times New Roman"/>
          <w:szCs w:val="24"/>
        </w:rPr>
        <w:t xml:space="preserve">, </w:t>
      </w:r>
      <w:r w:rsidR="00286112">
        <w:rPr>
          <w:rFonts w:eastAsia="Times New Roman"/>
          <w:szCs w:val="24"/>
        </w:rPr>
        <w:t>CA</w:t>
      </w:r>
      <w:r w:rsidRPr="00281428">
        <w:rPr>
          <w:rFonts w:eastAsia="Times New Roman"/>
          <w:szCs w:val="24"/>
        </w:rPr>
        <w:t>), indicating that while he sees the need for alignment with USDA regulations, he also believes it is important to retain the requirement that the net quantity declaration appear in a conspicuous manner on the principal display panel.</w:t>
      </w:r>
    </w:p>
    <w:p w14:paraId="0B5F6771" w14:textId="77777777" w:rsidR="00853F7C" w:rsidRPr="00281428" w:rsidRDefault="00853F7C" w:rsidP="00655343">
      <w:pPr>
        <w:rPr>
          <w:rFonts w:eastAsia="Times New Roman"/>
          <w:szCs w:val="24"/>
        </w:rPr>
      </w:pPr>
      <w:r w:rsidRPr="00281428">
        <w:rPr>
          <w:rFonts w:eastAsia="Times New Roman"/>
          <w:szCs w:val="24"/>
        </w:rPr>
        <w:t>The WWMA L&amp;R Committee recommends this as a Voting item provided the additional language, indicated by a double underline below is added.</w:t>
      </w:r>
    </w:p>
    <w:p w14:paraId="711C61D2" w14:textId="4C4CE115" w:rsidR="00233506" w:rsidRPr="00281428" w:rsidRDefault="00853F7C" w:rsidP="00853F7C">
      <w:pPr>
        <w:pStyle w:val="BoldHeading"/>
        <w:spacing w:after="240"/>
        <w:ind w:left="360"/>
        <w:rPr>
          <w:rFonts w:eastAsia="Times New Roman"/>
          <w:bCs/>
          <w:szCs w:val="24"/>
          <w:u w:val="double"/>
        </w:rPr>
      </w:pPr>
      <w:r w:rsidRPr="00281428">
        <w:rPr>
          <w:rFonts w:eastAsia="Times New Roman"/>
          <w:bCs/>
          <w:szCs w:val="24"/>
          <w:u w:val="single"/>
        </w:rPr>
        <w:t xml:space="preserve">11.XX.  Bacon – Bacon packaged as sliced shingles in rectangular packages shall be exempt from the requirement in this regulation for location (see Section 8.1.1. Location) of the net quantity declaration. </w:t>
      </w:r>
      <w:r w:rsidRPr="00281428">
        <w:rPr>
          <w:rFonts w:eastAsia="Times New Roman"/>
          <w:bCs/>
          <w:szCs w:val="24"/>
          <w:u w:val="double"/>
        </w:rPr>
        <w:t>However, such exemption shall not apply to the requirement for the net quantity declaration to appear in a conspicuous manner on the principal display panel.</w:t>
      </w:r>
    </w:p>
    <w:p w14:paraId="34FD4E1A" w14:textId="5047CE28" w:rsidR="00853F7C" w:rsidRPr="00281428" w:rsidRDefault="00853F7C" w:rsidP="00853F7C">
      <w:pPr>
        <w:rPr>
          <w:bCs/>
        </w:rPr>
      </w:pPr>
      <w:r w:rsidRPr="00281428">
        <w:rPr>
          <w:bCs/>
          <w:u w:val="single"/>
        </w:rPr>
        <w:t>SWMA 2020 Annual Meeting:</w:t>
      </w:r>
      <w:r w:rsidRPr="00281428">
        <w:rPr>
          <w:b/>
        </w:rPr>
        <w:t xml:space="preserve">  </w:t>
      </w:r>
      <w:r w:rsidRPr="00281428">
        <w:rPr>
          <w:bCs/>
        </w:rPr>
        <w:t>Ms. Lisa Warfield (NIST OWM) remarked that they submitted this proposal to add the USDA labeling requirements for bacon to HB130</w:t>
      </w:r>
      <w:r w:rsidR="0018372F" w:rsidRPr="00281428">
        <w:rPr>
          <w:bCs/>
        </w:rPr>
        <w:t>,</w:t>
      </w:r>
      <w:r w:rsidRPr="00281428">
        <w:rPr>
          <w:bCs/>
        </w:rPr>
        <w:t xml:space="preserve"> UPLR.  If adopted this language would appear in Section 11. Exemptions.  When drafting this proposal, the exemption for bacon was only for the location (</w:t>
      </w:r>
      <w:r w:rsidR="0018372F" w:rsidRPr="00281428">
        <w:rPr>
          <w:bCs/>
        </w:rPr>
        <w:t xml:space="preserve">UPLR, Section </w:t>
      </w:r>
      <w:r w:rsidRPr="00281428">
        <w:rPr>
          <w:bCs/>
        </w:rPr>
        <w:t xml:space="preserve">8.1.1.)  We were not exempting bacon from </w:t>
      </w:r>
      <w:r w:rsidR="0018372F" w:rsidRPr="00281428">
        <w:rPr>
          <w:bCs/>
        </w:rPr>
        <w:t>UPLR, Section</w:t>
      </w:r>
      <w:r w:rsidR="00EB2FB2" w:rsidRPr="00281428">
        <w:rPr>
          <w:bCs/>
        </w:rPr>
        <w:t>s</w:t>
      </w:r>
      <w:r w:rsidR="0018372F" w:rsidRPr="00281428">
        <w:rPr>
          <w:bCs/>
        </w:rPr>
        <w:t xml:space="preserve"> </w:t>
      </w:r>
      <w:r w:rsidRPr="00281428">
        <w:rPr>
          <w:bCs/>
        </w:rPr>
        <w:t xml:space="preserve">8.1.2. and 8.1.3. that requires the net quantity to be conspicuous.  </w:t>
      </w:r>
      <w:r w:rsidR="0018372F" w:rsidRPr="00281428">
        <w:rPr>
          <w:bCs/>
        </w:rPr>
        <w:t xml:space="preserve">The bacon </w:t>
      </w:r>
      <w:r w:rsidRPr="00281428">
        <w:rPr>
          <w:bCs/>
        </w:rPr>
        <w:t>language mirrors the language found for margarine under Section 11.19.  Both margarine and bacon exemption</w:t>
      </w:r>
      <w:r w:rsidR="0018372F" w:rsidRPr="00281428">
        <w:rPr>
          <w:bCs/>
        </w:rPr>
        <w:t>s</w:t>
      </w:r>
      <w:r w:rsidRPr="00281428">
        <w:rPr>
          <w:bCs/>
        </w:rPr>
        <w:t xml:space="preserve"> are found </w:t>
      </w:r>
      <w:r w:rsidR="0018372F" w:rsidRPr="00281428">
        <w:rPr>
          <w:bCs/>
        </w:rPr>
        <w:t>with</w:t>
      </w:r>
      <w:r w:rsidRPr="00281428">
        <w:rPr>
          <w:bCs/>
        </w:rPr>
        <w:t>in 9 CFR 317.2.  If the Committee agrees language for conspicuous needs to be addressed</w:t>
      </w:r>
      <w:r w:rsidR="0018372F" w:rsidRPr="00281428">
        <w:rPr>
          <w:bCs/>
        </w:rPr>
        <w:t xml:space="preserve">, </w:t>
      </w:r>
      <w:r w:rsidRPr="00281428">
        <w:rPr>
          <w:bCs/>
        </w:rPr>
        <w:t xml:space="preserve">NIST OWM recommends adding a sentence “The statement of net quantity shall be clear and conspicuous on the </w:t>
      </w:r>
      <w:r w:rsidRPr="00281428">
        <w:rPr>
          <w:bCs/>
        </w:rPr>
        <w:lastRenderedPageBreak/>
        <w:t>principal display panel. (refer to 9 CFR 317.2)</w:t>
      </w:r>
      <w:r w:rsidR="0018372F" w:rsidRPr="00281428">
        <w:rPr>
          <w:bCs/>
        </w:rPr>
        <w:t>.</w:t>
      </w:r>
      <w:r w:rsidRPr="00281428">
        <w:rPr>
          <w:bCs/>
        </w:rPr>
        <w:t xml:space="preserve">  The Committee received comments from Mr. Tim Chesser (</w:t>
      </w:r>
      <w:r w:rsidR="00C31503">
        <w:rPr>
          <w:bCs/>
        </w:rPr>
        <w:t>AR</w:t>
      </w:r>
      <w:r w:rsidRPr="00281428">
        <w:rPr>
          <w:bCs/>
        </w:rPr>
        <w:t xml:space="preserve">) in support of the </w:t>
      </w:r>
      <w:r w:rsidR="0018372F" w:rsidRPr="00281428">
        <w:rPr>
          <w:bCs/>
        </w:rPr>
        <w:t xml:space="preserve">Item </w:t>
      </w:r>
      <w:r w:rsidRPr="00281428">
        <w:rPr>
          <w:bCs/>
        </w:rPr>
        <w:t xml:space="preserve">with alternative language to include clear and conspicuous. </w:t>
      </w:r>
    </w:p>
    <w:p w14:paraId="3C138249" w14:textId="7FD384EA" w:rsidR="00853F7C" w:rsidRPr="00281428" w:rsidRDefault="00853F7C" w:rsidP="00853F7C">
      <w:pPr>
        <w:rPr>
          <w:bCs/>
        </w:rPr>
      </w:pPr>
      <w:r w:rsidRPr="00281428">
        <w:rPr>
          <w:bCs/>
        </w:rPr>
        <w:t>Comments were also received from Ms. Elizabeth Koncki (</w:t>
      </w:r>
      <w:r w:rsidR="00911429">
        <w:rPr>
          <w:bCs/>
        </w:rPr>
        <w:t>MD</w:t>
      </w:r>
      <w:r w:rsidRPr="00281428">
        <w:rPr>
          <w:bCs/>
        </w:rPr>
        <w:t xml:space="preserve">) requesting clarification where the proposal was </w:t>
      </w:r>
      <w:r w:rsidR="0034796B" w:rsidRPr="00281428">
        <w:rPr>
          <w:bCs/>
        </w:rPr>
        <w:t>going,</w:t>
      </w:r>
      <w:r w:rsidRPr="00281428">
        <w:rPr>
          <w:bCs/>
        </w:rPr>
        <w:t xml:space="preserve"> and she preferred to add the conspicuous language. </w:t>
      </w:r>
    </w:p>
    <w:p w14:paraId="537A0D80" w14:textId="77777777" w:rsidR="00853F7C" w:rsidRPr="00281428" w:rsidRDefault="00853F7C" w:rsidP="00655343">
      <w:pPr>
        <w:rPr>
          <w:rFonts w:eastAsia="Times New Roman"/>
          <w:szCs w:val="24"/>
        </w:rPr>
      </w:pPr>
      <w:r w:rsidRPr="00281428">
        <w:rPr>
          <w:rFonts w:eastAsia="Times New Roman"/>
          <w:szCs w:val="24"/>
        </w:rPr>
        <w:t>The SWMA L&amp;R Committee recommends this as a Voting item provided the additional language, indicated by a double underline below is added.</w:t>
      </w:r>
    </w:p>
    <w:p w14:paraId="3C63BE31" w14:textId="35EBBE47" w:rsidR="00853F7C" w:rsidRPr="00281428" w:rsidRDefault="00853F7C" w:rsidP="00853F7C">
      <w:pPr>
        <w:ind w:left="360"/>
        <w:rPr>
          <w:bCs/>
        </w:rPr>
      </w:pPr>
      <w:r w:rsidRPr="00281428">
        <w:rPr>
          <w:b/>
          <w:bCs/>
          <w:u w:val="single"/>
        </w:rPr>
        <w:t xml:space="preserve">11.XX.  Bacon </w:t>
      </w:r>
      <w:r w:rsidR="00EB2FB2" w:rsidRPr="00281428">
        <w:rPr>
          <w:b/>
          <w:bCs/>
          <w:u w:val="single"/>
        </w:rPr>
        <w:sym w:font="Symbol" w:char="F02D"/>
      </w:r>
      <w:r w:rsidR="00EB2FB2" w:rsidRPr="00281428">
        <w:rPr>
          <w:b/>
          <w:bCs/>
          <w:u w:val="single"/>
        </w:rPr>
        <w:t xml:space="preserve"> </w:t>
      </w:r>
      <w:r w:rsidRPr="00281428">
        <w:rPr>
          <w:b/>
          <w:bCs/>
          <w:u w:val="single"/>
        </w:rPr>
        <w:t>Bacon packaged as sliced shingles in rectangular packages shall be exempt from the requirement in this regulation for location (see Section 8.1.1. Location) of the net quantity declaration.   </w:t>
      </w:r>
      <w:r w:rsidRPr="00281428">
        <w:rPr>
          <w:rFonts w:ascii="Times New Roman Bold" w:hAnsi="Times New Roman Bold"/>
          <w:b/>
          <w:bCs/>
          <w:u w:val="double"/>
        </w:rPr>
        <w:t>The statement of net quantity shall be clear and conspicuous on the principal display panel. (see 9 CFR 317.2)</w:t>
      </w:r>
    </w:p>
    <w:p w14:paraId="63FF40FF" w14:textId="441BEBF4" w:rsidR="00853F7C" w:rsidRPr="00281428" w:rsidRDefault="00853F7C" w:rsidP="00853F7C">
      <w:pPr>
        <w:rPr>
          <w:rFonts w:eastAsia="Times New Roman"/>
          <w:szCs w:val="24"/>
        </w:rPr>
      </w:pPr>
      <w:r w:rsidRPr="00281428">
        <w:rPr>
          <w:bCs/>
          <w:u w:val="single"/>
        </w:rPr>
        <w:t>NEWMA 2020 Interim Meeting:</w:t>
      </w:r>
      <w:r w:rsidRPr="00281428">
        <w:rPr>
          <w:bCs/>
        </w:rPr>
        <w:t xml:space="preserve">  </w:t>
      </w:r>
      <w:r w:rsidR="00CD31EC" w:rsidRPr="00281428">
        <w:rPr>
          <w:rFonts w:eastAsia="Times New Roman"/>
          <w:szCs w:val="24"/>
        </w:rPr>
        <w:t>Ms.</w:t>
      </w:r>
      <w:r w:rsidRPr="00281428">
        <w:rPr>
          <w:rFonts w:eastAsia="Times New Roman"/>
          <w:szCs w:val="24"/>
        </w:rPr>
        <w:t xml:space="preserve"> </w:t>
      </w:r>
      <w:r w:rsidR="00EB2FB2" w:rsidRPr="00281428">
        <w:rPr>
          <w:rFonts w:eastAsia="Times New Roman"/>
          <w:szCs w:val="24"/>
        </w:rPr>
        <w:t>Warfield</w:t>
      </w:r>
      <w:r w:rsidRPr="00281428">
        <w:rPr>
          <w:rFonts w:eastAsia="Times New Roman"/>
          <w:szCs w:val="24"/>
        </w:rPr>
        <w:t xml:space="preserve"> worked with </w:t>
      </w:r>
      <w:r w:rsidR="00CD31EC" w:rsidRPr="00281428">
        <w:rPr>
          <w:rFonts w:eastAsia="Times New Roman"/>
          <w:szCs w:val="24"/>
        </w:rPr>
        <w:t xml:space="preserve">Mr. </w:t>
      </w:r>
      <w:r w:rsidRPr="00281428">
        <w:rPr>
          <w:rFonts w:eastAsia="Times New Roman"/>
          <w:szCs w:val="24"/>
        </w:rPr>
        <w:t xml:space="preserve">Floren on updating the language in the proposal.  The </w:t>
      </w:r>
      <w:r w:rsidR="00CD31EC" w:rsidRPr="00281428">
        <w:rPr>
          <w:rFonts w:eastAsia="Times New Roman"/>
          <w:szCs w:val="24"/>
        </w:rPr>
        <w:t xml:space="preserve">modified </w:t>
      </w:r>
      <w:r w:rsidRPr="00281428">
        <w:rPr>
          <w:rFonts w:eastAsia="Times New Roman"/>
          <w:szCs w:val="24"/>
        </w:rPr>
        <w:t xml:space="preserve">language was submitted for consideration by the Committee. </w:t>
      </w:r>
      <w:r w:rsidR="00CD31EC" w:rsidRPr="00281428">
        <w:rPr>
          <w:rFonts w:eastAsia="Times New Roman"/>
          <w:szCs w:val="24"/>
        </w:rPr>
        <w:t xml:space="preserve"> </w:t>
      </w:r>
      <w:r w:rsidRPr="00281428">
        <w:rPr>
          <w:rFonts w:eastAsia="Times New Roman"/>
          <w:szCs w:val="24"/>
        </w:rPr>
        <w:t xml:space="preserve">It was requested that the Committee should also apply the same language to margarine.  These changes would align language with USDA’s CFR.  The Committee concurred and </w:t>
      </w:r>
      <w:r w:rsidR="002748B5" w:rsidRPr="00281428">
        <w:rPr>
          <w:rFonts w:eastAsia="Times New Roman"/>
          <w:szCs w:val="24"/>
        </w:rPr>
        <w:t>recommended</w:t>
      </w:r>
      <w:r w:rsidRPr="00281428">
        <w:rPr>
          <w:rFonts w:eastAsia="Times New Roman"/>
          <w:szCs w:val="24"/>
        </w:rPr>
        <w:t xml:space="preserve"> the updated proposal </w:t>
      </w:r>
      <w:r w:rsidR="00CD31EC" w:rsidRPr="00281428">
        <w:rPr>
          <w:rFonts w:eastAsia="Times New Roman"/>
          <w:szCs w:val="24"/>
        </w:rPr>
        <w:t xml:space="preserve">as shown below, </w:t>
      </w:r>
      <w:r w:rsidRPr="00281428">
        <w:rPr>
          <w:rFonts w:eastAsia="Times New Roman"/>
          <w:szCs w:val="24"/>
        </w:rPr>
        <w:t>be a Voting item.</w:t>
      </w:r>
    </w:p>
    <w:p w14:paraId="4AB47BF4" w14:textId="32076A77" w:rsidR="00853F7C" w:rsidRPr="00281428" w:rsidRDefault="00853F7C" w:rsidP="00853F7C">
      <w:pPr>
        <w:spacing w:after="160" w:line="259" w:lineRule="auto"/>
        <w:ind w:left="360"/>
        <w:rPr>
          <w:b/>
          <w:bCs/>
          <w:szCs w:val="20"/>
          <w:u w:val="double"/>
        </w:rPr>
      </w:pPr>
      <w:bookmarkStart w:id="68" w:name="_Hlk61527094"/>
      <w:r w:rsidRPr="00281428">
        <w:rPr>
          <w:b/>
          <w:bCs/>
          <w:szCs w:val="20"/>
          <w:u w:val="single"/>
        </w:rPr>
        <w:t xml:space="preserve">11.XX.  Bacon </w:t>
      </w:r>
      <w:r w:rsidRPr="00281428">
        <w:rPr>
          <w:rFonts w:ascii="Symbol" w:hAnsi="Symbol" w:cs="Calibri"/>
          <w:b/>
          <w:bCs/>
          <w:szCs w:val="20"/>
          <w:u w:val="single"/>
        </w:rPr>
        <w:t></w:t>
      </w:r>
      <w:r w:rsidR="00CD31EC" w:rsidRPr="00281428">
        <w:rPr>
          <w:rFonts w:ascii="Symbol" w:hAnsi="Symbol" w:cs="Calibri"/>
          <w:b/>
          <w:bCs/>
          <w:szCs w:val="20"/>
          <w:u w:val="single"/>
        </w:rPr>
        <w:t></w:t>
      </w:r>
      <w:r w:rsidRPr="00281428">
        <w:rPr>
          <w:b/>
          <w:bCs/>
          <w:szCs w:val="20"/>
          <w:u w:val="single"/>
        </w:rPr>
        <w:t> Bacon packaged as sliced shingles in rectangular packages shall be exempt from the requirement in this regulation for location (see Section 8.1.1. Location) of the net quantity declaration</w:t>
      </w:r>
      <w:r w:rsidRPr="00281428">
        <w:rPr>
          <w:b/>
          <w:bCs/>
          <w:szCs w:val="20"/>
          <w:u w:val="double"/>
        </w:rPr>
        <w:t>.  The statement of net quantity shall appear in a clear and conspicuous manner on the principal display panel. (see 9 CFR 317.2)</w:t>
      </w:r>
    </w:p>
    <w:bookmarkEnd w:id="68"/>
    <w:p w14:paraId="3B98A421" w14:textId="3CABC0FB" w:rsidR="00853F7C" w:rsidRPr="00281428" w:rsidRDefault="00853F7C" w:rsidP="00853F7C">
      <w:pPr>
        <w:ind w:left="360"/>
        <w:rPr>
          <w:bCs/>
        </w:rPr>
      </w:pPr>
      <w:r w:rsidRPr="00281428">
        <w:rPr>
          <w:b/>
          <w:bCs/>
          <w:szCs w:val="20"/>
        </w:rPr>
        <w:t>11.19 Margarine.</w:t>
      </w:r>
      <w:r w:rsidRPr="00281428">
        <w:rPr>
          <w:szCs w:val="20"/>
        </w:rPr>
        <w:t> </w:t>
      </w:r>
      <w:r w:rsidRPr="00281428">
        <w:rPr>
          <w:rFonts w:ascii="Symbol" w:hAnsi="Symbol" w:cs="Calibri"/>
          <w:b/>
          <w:bCs/>
          <w:szCs w:val="20"/>
        </w:rPr>
        <w:t></w:t>
      </w:r>
      <w:r w:rsidRPr="00281428">
        <w:rPr>
          <w:szCs w:val="20"/>
        </w:rPr>
        <w:t xml:space="preserve"> Margarine in 1 lb rectangular packages, except for packages containing whipped or soft margarine or packages, containing more than four sticks, shall be exempt from the requirement in this regulation for location (see Section 8.1.1. Location) of the net quantity.   </w:t>
      </w:r>
      <w:r w:rsidRPr="00281428">
        <w:rPr>
          <w:b/>
          <w:bCs/>
          <w:szCs w:val="20"/>
          <w:u w:val="single"/>
        </w:rPr>
        <w:t>The statement of net quantity shall appear in a clear and conspicuous manner on the principal display panel. (see 9 CFR 317.2)</w:t>
      </w:r>
    </w:p>
    <w:p w14:paraId="43EC7014" w14:textId="35E7F7F8" w:rsidR="00853F7C" w:rsidRPr="00281428" w:rsidRDefault="00853F7C" w:rsidP="00655343">
      <w:pPr>
        <w:pStyle w:val="TableParagraph"/>
        <w:spacing w:after="240"/>
        <w:ind w:left="0" w:right="94"/>
        <w:jc w:val="both"/>
        <w:rPr>
          <w:sz w:val="20"/>
          <w:szCs w:val="20"/>
        </w:rPr>
      </w:pPr>
      <w:r w:rsidRPr="00281428">
        <w:rPr>
          <w:bCs/>
          <w:sz w:val="20"/>
          <w:szCs w:val="20"/>
          <w:u w:val="single"/>
        </w:rPr>
        <w:t>CWMA 2020 Interim Meeting:</w:t>
      </w:r>
      <w:r w:rsidRPr="00281428">
        <w:rPr>
          <w:bCs/>
          <w:sz w:val="20"/>
          <w:szCs w:val="20"/>
        </w:rPr>
        <w:t xml:space="preserve">  </w:t>
      </w:r>
      <w:r w:rsidRPr="00281428">
        <w:rPr>
          <w:sz w:val="20"/>
          <w:szCs w:val="20"/>
        </w:rPr>
        <w:t>Ms. Lisa Warfield (NIST</w:t>
      </w:r>
      <w:r w:rsidR="00911429">
        <w:rPr>
          <w:sz w:val="20"/>
          <w:szCs w:val="20"/>
        </w:rPr>
        <w:t xml:space="preserve"> OWM</w:t>
      </w:r>
      <w:r w:rsidRPr="00281428">
        <w:rPr>
          <w:sz w:val="20"/>
          <w:szCs w:val="20"/>
        </w:rPr>
        <w:t xml:space="preserve">) commented that this item is intended to reaffirm that UPLR Section 11.19. </w:t>
      </w:r>
      <w:r w:rsidR="00EE49F1">
        <w:rPr>
          <w:sz w:val="20"/>
          <w:szCs w:val="20"/>
        </w:rPr>
        <w:t xml:space="preserve"> </w:t>
      </w:r>
      <w:r w:rsidRPr="00281428">
        <w:rPr>
          <w:sz w:val="20"/>
          <w:szCs w:val="20"/>
        </w:rPr>
        <w:t>Margarine should</w:t>
      </w:r>
      <w:r w:rsidRPr="00281428">
        <w:rPr>
          <w:spacing w:val="-6"/>
          <w:sz w:val="20"/>
          <w:szCs w:val="20"/>
        </w:rPr>
        <w:t xml:space="preserve"> </w:t>
      </w:r>
      <w:r w:rsidRPr="00281428">
        <w:rPr>
          <w:sz w:val="20"/>
          <w:szCs w:val="20"/>
        </w:rPr>
        <w:t>have</w:t>
      </w:r>
      <w:r w:rsidRPr="00281428">
        <w:rPr>
          <w:spacing w:val="-6"/>
          <w:sz w:val="20"/>
          <w:szCs w:val="20"/>
        </w:rPr>
        <w:t xml:space="preserve"> </w:t>
      </w:r>
      <w:r w:rsidRPr="00281428">
        <w:rPr>
          <w:sz w:val="20"/>
          <w:szCs w:val="20"/>
        </w:rPr>
        <w:t>the</w:t>
      </w:r>
      <w:r w:rsidRPr="00281428">
        <w:rPr>
          <w:spacing w:val="-9"/>
          <w:sz w:val="20"/>
          <w:szCs w:val="20"/>
        </w:rPr>
        <w:t xml:space="preserve"> </w:t>
      </w:r>
      <w:r w:rsidRPr="00281428">
        <w:rPr>
          <w:sz w:val="20"/>
          <w:szCs w:val="20"/>
        </w:rPr>
        <w:t>same</w:t>
      </w:r>
      <w:r w:rsidRPr="00281428">
        <w:rPr>
          <w:spacing w:val="-6"/>
          <w:sz w:val="20"/>
          <w:szCs w:val="20"/>
        </w:rPr>
        <w:t xml:space="preserve"> </w:t>
      </w:r>
      <w:r w:rsidRPr="00281428">
        <w:rPr>
          <w:sz w:val="20"/>
          <w:szCs w:val="20"/>
        </w:rPr>
        <w:t>language</w:t>
      </w:r>
      <w:r w:rsidRPr="00281428">
        <w:rPr>
          <w:spacing w:val="-4"/>
          <w:sz w:val="20"/>
          <w:szCs w:val="20"/>
        </w:rPr>
        <w:t xml:space="preserve"> </w:t>
      </w:r>
      <w:r w:rsidRPr="00281428">
        <w:rPr>
          <w:sz w:val="20"/>
          <w:szCs w:val="20"/>
        </w:rPr>
        <w:t>that</w:t>
      </w:r>
      <w:r w:rsidRPr="00281428">
        <w:rPr>
          <w:spacing w:val="-6"/>
          <w:sz w:val="20"/>
          <w:szCs w:val="20"/>
        </w:rPr>
        <w:t xml:space="preserve"> </w:t>
      </w:r>
      <w:r w:rsidRPr="00281428">
        <w:rPr>
          <w:sz w:val="20"/>
          <w:szCs w:val="20"/>
        </w:rPr>
        <w:t>was</w:t>
      </w:r>
      <w:r w:rsidRPr="00281428">
        <w:rPr>
          <w:spacing w:val="-7"/>
          <w:sz w:val="20"/>
          <w:szCs w:val="20"/>
        </w:rPr>
        <w:t xml:space="preserve"> </w:t>
      </w:r>
      <w:r w:rsidRPr="00281428">
        <w:rPr>
          <w:sz w:val="20"/>
          <w:szCs w:val="20"/>
        </w:rPr>
        <w:t>accepted</w:t>
      </w:r>
      <w:r w:rsidRPr="00281428">
        <w:rPr>
          <w:spacing w:val="-8"/>
          <w:sz w:val="20"/>
          <w:szCs w:val="20"/>
        </w:rPr>
        <w:t xml:space="preserve"> </w:t>
      </w:r>
      <w:r w:rsidRPr="00281428">
        <w:rPr>
          <w:sz w:val="20"/>
          <w:szCs w:val="20"/>
        </w:rPr>
        <w:t>by</w:t>
      </w:r>
      <w:r w:rsidRPr="00281428">
        <w:rPr>
          <w:spacing w:val="-8"/>
          <w:sz w:val="20"/>
          <w:szCs w:val="20"/>
        </w:rPr>
        <w:t xml:space="preserve"> </w:t>
      </w:r>
      <w:r w:rsidRPr="00281428">
        <w:rPr>
          <w:sz w:val="20"/>
          <w:szCs w:val="20"/>
        </w:rPr>
        <w:t>NEWMA,</w:t>
      </w:r>
      <w:r w:rsidRPr="00281428">
        <w:rPr>
          <w:spacing w:val="-6"/>
          <w:sz w:val="20"/>
          <w:szCs w:val="20"/>
        </w:rPr>
        <w:t xml:space="preserve"> </w:t>
      </w:r>
      <w:r w:rsidRPr="00281428">
        <w:rPr>
          <w:sz w:val="20"/>
          <w:szCs w:val="20"/>
        </w:rPr>
        <w:t>which</w:t>
      </w:r>
      <w:r w:rsidRPr="00281428">
        <w:rPr>
          <w:spacing w:val="-6"/>
          <w:sz w:val="20"/>
          <w:szCs w:val="20"/>
        </w:rPr>
        <w:t xml:space="preserve"> </w:t>
      </w:r>
      <w:r w:rsidRPr="00281428">
        <w:rPr>
          <w:sz w:val="20"/>
          <w:szCs w:val="20"/>
        </w:rPr>
        <w:t>will</w:t>
      </w:r>
      <w:r w:rsidRPr="00281428">
        <w:rPr>
          <w:spacing w:val="-7"/>
          <w:sz w:val="20"/>
          <w:szCs w:val="20"/>
        </w:rPr>
        <w:t xml:space="preserve"> </w:t>
      </w:r>
      <w:r w:rsidRPr="00281428">
        <w:rPr>
          <w:sz w:val="20"/>
          <w:szCs w:val="20"/>
        </w:rPr>
        <w:t>align</w:t>
      </w:r>
      <w:r w:rsidRPr="00281428">
        <w:rPr>
          <w:spacing w:val="-8"/>
          <w:sz w:val="20"/>
          <w:szCs w:val="20"/>
        </w:rPr>
        <w:t xml:space="preserve"> </w:t>
      </w:r>
      <w:r w:rsidRPr="00281428">
        <w:rPr>
          <w:sz w:val="20"/>
          <w:szCs w:val="20"/>
        </w:rPr>
        <w:t>language</w:t>
      </w:r>
      <w:r w:rsidRPr="00281428">
        <w:rPr>
          <w:spacing w:val="-9"/>
          <w:sz w:val="20"/>
          <w:szCs w:val="20"/>
        </w:rPr>
        <w:t xml:space="preserve"> </w:t>
      </w:r>
      <w:r w:rsidRPr="00281428">
        <w:rPr>
          <w:sz w:val="20"/>
          <w:szCs w:val="20"/>
        </w:rPr>
        <w:t>with</w:t>
      </w:r>
      <w:r w:rsidRPr="00281428">
        <w:rPr>
          <w:spacing w:val="-6"/>
          <w:sz w:val="20"/>
          <w:szCs w:val="20"/>
        </w:rPr>
        <w:t xml:space="preserve"> </w:t>
      </w:r>
      <w:r w:rsidRPr="00281428">
        <w:rPr>
          <w:sz w:val="20"/>
          <w:szCs w:val="20"/>
        </w:rPr>
        <w:t>USDA’s</w:t>
      </w:r>
      <w:r w:rsidRPr="00281428">
        <w:rPr>
          <w:spacing w:val="-8"/>
          <w:sz w:val="20"/>
          <w:szCs w:val="20"/>
        </w:rPr>
        <w:t xml:space="preserve"> </w:t>
      </w:r>
      <w:r w:rsidRPr="00281428">
        <w:rPr>
          <w:sz w:val="20"/>
          <w:szCs w:val="20"/>
        </w:rPr>
        <w:t>CFR.</w:t>
      </w:r>
      <w:r w:rsidRPr="00281428">
        <w:rPr>
          <w:spacing w:val="40"/>
          <w:sz w:val="20"/>
          <w:szCs w:val="20"/>
        </w:rPr>
        <w:t xml:space="preserve"> </w:t>
      </w:r>
      <w:r w:rsidRPr="00281428">
        <w:rPr>
          <w:sz w:val="20"/>
          <w:szCs w:val="20"/>
        </w:rPr>
        <w:t xml:space="preserve">The Committee discussed the option of adding Section 11.19. </w:t>
      </w:r>
      <w:r w:rsidR="00711E85">
        <w:rPr>
          <w:sz w:val="20"/>
          <w:szCs w:val="20"/>
        </w:rPr>
        <w:t xml:space="preserve"> </w:t>
      </w:r>
      <w:r w:rsidRPr="00281428">
        <w:rPr>
          <w:sz w:val="20"/>
          <w:szCs w:val="20"/>
        </w:rPr>
        <w:t xml:space="preserve">Margarine to the Item title above and suggests that the </w:t>
      </w:r>
      <w:r w:rsidR="00711E85">
        <w:rPr>
          <w:sz w:val="20"/>
          <w:szCs w:val="20"/>
        </w:rPr>
        <w:t>NCWM</w:t>
      </w:r>
      <w:r w:rsidRPr="00281428">
        <w:rPr>
          <w:sz w:val="20"/>
          <w:szCs w:val="20"/>
        </w:rPr>
        <w:t xml:space="preserve"> L&amp;R Committee change the title to reflect the change below for Section 11.19. Margarine. </w:t>
      </w:r>
      <w:r w:rsidR="00711E85">
        <w:rPr>
          <w:sz w:val="20"/>
          <w:szCs w:val="20"/>
        </w:rPr>
        <w:t xml:space="preserve"> </w:t>
      </w:r>
      <w:r w:rsidRPr="00281428">
        <w:rPr>
          <w:sz w:val="20"/>
          <w:szCs w:val="20"/>
        </w:rPr>
        <w:t>Based on Committee discussion, the item is fully developed and ready for Voting</w:t>
      </w:r>
      <w:r w:rsidRPr="00281428">
        <w:rPr>
          <w:spacing w:val="8"/>
          <w:sz w:val="20"/>
          <w:szCs w:val="20"/>
        </w:rPr>
        <w:t xml:space="preserve"> </w:t>
      </w:r>
      <w:r w:rsidRPr="00281428">
        <w:rPr>
          <w:sz w:val="20"/>
          <w:szCs w:val="20"/>
        </w:rPr>
        <w:t>status.</w:t>
      </w:r>
    </w:p>
    <w:p w14:paraId="3AB64101" w14:textId="642DF034" w:rsidR="00853F7C" w:rsidRPr="00281428" w:rsidRDefault="00853F7C" w:rsidP="00655343">
      <w:pPr>
        <w:pStyle w:val="TableParagraph"/>
        <w:spacing w:after="240"/>
        <w:ind w:left="360" w:right="98"/>
        <w:jc w:val="both"/>
        <w:rPr>
          <w:b/>
          <w:sz w:val="20"/>
        </w:rPr>
      </w:pPr>
      <w:r w:rsidRPr="00281428">
        <w:rPr>
          <w:b/>
          <w:sz w:val="20"/>
          <w:u w:val="single"/>
        </w:rPr>
        <w:t xml:space="preserve">11.XX. </w:t>
      </w:r>
      <w:r w:rsidR="006360E4" w:rsidRPr="00281428">
        <w:rPr>
          <w:b/>
          <w:sz w:val="20"/>
          <w:u w:val="single"/>
        </w:rPr>
        <w:t xml:space="preserve"> </w:t>
      </w:r>
      <w:r w:rsidRPr="00281428">
        <w:rPr>
          <w:b/>
          <w:sz w:val="20"/>
          <w:u w:val="single"/>
        </w:rPr>
        <w:t xml:space="preserve">Bacon </w:t>
      </w:r>
      <w:r w:rsidRPr="00281428">
        <w:rPr>
          <w:rFonts w:ascii="Symbol" w:hAnsi="Symbol"/>
          <w:b/>
          <w:sz w:val="20"/>
          <w:u w:val="single"/>
        </w:rPr>
        <w:t></w:t>
      </w:r>
      <w:r w:rsidRPr="00281428">
        <w:rPr>
          <w:b/>
          <w:sz w:val="20"/>
          <w:u w:val="single"/>
        </w:rPr>
        <w:t xml:space="preserve"> Bacon packaged as sliced shingles in rectangular packages shall be exempt from the requirement in this regulation for location (see Section 8.1.1. Location) of the net quantity declaration.</w:t>
      </w:r>
      <w:r w:rsidRPr="00281428">
        <w:rPr>
          <w:b/>
          <w:spacing w:val="20"/>
          <w:sz w:val="20"/>
          <w:u w:val="single"/>
        </w:rPr>
        <w:t xml:space="preserve"> </w:t>
      </w:r>
      <w:r w:rsidRPr="00281428">
        <w:rPr>
          <w:b/>
          <w:sz w:val="20"/>
          <w:u w:val="single"/>
        </w:rPr>
        <w:t>The statement</w:t>
      </w:r>
      <w:r w:rsidRPr="00281428">
        <w:rPr>
          <w:b/>
          <w:spacing w:val="-9"/>
          <w:sz w:val="20"/>
          <w:u w:val="single"/>
        </w:rPr>
        <w:t xml:space="preserve"> </w:t>
      </w:r>
      <w:r w:rsidRPr="00281428">
        <w:rPr>
          <w:b/>
          <w:sz w:val="20"/>
          <w:u w:val="single"/>
        </w:rPr>
        <w:t>of</w:t>
      </w:r>
      <w:r w:rsidRPr="00281428">
        <w:rPr>
          <w:b/>
          <w:spacing w:val="-9"/>
          <w:sz w:val="20"/>
          <w:u w:val="single"/>
        </w:rPr>
        <w:t xml:space="preserve"> </w:t>
      </w:r>
      <w:r w:rsidRPr="00281428">
        <w:rPr>
          <w:b/>
          <w:sz w:val="20"/>
          <w:u w:val="single"/>
        </w:rPr>
        <w:t>net</w:t>
      </w:r>
      <w:r w:rsidRPr="00281428">
        <w:rPr>
          <w:b/>
          <w:spacing w:val="-9"/>
          <w:sz w:val="20"/>
          <w:u w:val="single"/>
        </w:rPr>
        <w:t xml:space="preserve"> </w:t>
      </w:r>
      <w:r w:rsidRPr="00281428">
        <w:rPr>
          <w:b/>
          <w:sz w:val="20"/>
          <w:u w:val="single"/>
        </w:rPr>
        <w:t>quantity</w:t>
      </w:r>
      <w:r w:rsidRPr="00281428">
        <w:rPr>
          <w:b/>
          <w:spacing w:val="-8"/>
          <w:sz w:val="20"/>
          <w:u w:val="single"/>
        </w:rPr>
        <w:t xml:space="preserve"> </w:t>
      </w:r>
      <w:r w:rsidRPr="00281428">
        <w:rPr>
          <w:b/>
          <w:sz w:val="20"/>
          <w:u w:val="single"/>
        </w:rPr>
        <w:t>shall</w:t>
      </w:r>
      <w:r w:rsidRPr="00281428">
        <w:rPr>
          <w:b/>
          <w:spacing w:val="-9"/>
          <w:sz w:val="20"/>
          <w:u w:val="single"/>
        </w:rPr>
        <w:t xml:space="preserve"> </w:t>
      </w:r>
      <w:r w:rsidRPr="00281428">
        <w:rPr>
          <w:b/>
          <w:sz w:val="20"/>
          <w:u w:val="single"/>
        </w:rPr>
        <w:t>appear</w:t>
      </w:r>
      <w:r w:rsidRPr="00281428">
        <w:rPr>
          <w:b/>
          <w:spacing w:val="-9"/>
          <w:sz w:val="20"/>
          <w:u w:val="single"/>
        </w:rPr>
        <w:t xml:space="preserve"> </w:t>
      </w:r>
      <w:r w:rsidRPr="00281428">
        <w:rPr>
          <w:b/>
          <w:sz w:val="20"/>
          <w:u w:val="single"/>
        </w:rPr>
        <w:t>in</w:t>
      </w:r>
      <w:r w:rsidRPr="00281428">
        <w:rPr>
          <w:b/>
          <w:spacing w:val="-10"/>
          <w:sz w:val="20"/>
          <w:u w:val="single"/>
        </w:rPr>
        <w:t xml:space="preserve"> </w:t>
      </w:r>
      <w:r w:rsidRPr="00281428">
        <w:rPr>
          <w:b/>
          <w:sz w:val="20"/>
          <w:u w:val="single"/>
        </w:rPr>
        <w:t>a</w:t>
      </w:r>
      <w:r w:rsidRPr="00281428">
        <w:rPr>
          <w:b/>
          <w:spacing w:val="-8"/>
          <w:sz w:val="20"/>
          <w:u w:val="single"/>
        </w:rPr>
        <w:t xml:space="preserve"> </w:t>
      </w:r>
      <w:r w:rsidRPr="00281428">
        <w:rPr>
          <w:b/>
          <w:sz w:val="20"/>
          <w:u w:val="single"/>
        </w:rPr>
        <w:t>clear</w:t>
      </w:r>
      <w:r w:rsidRPr="00281428">
        <w:rPr>
          <w:b/>
          <w:spacing w:val="-9"/>
          <w:sz w:val="20"/>
          <w:u w:val="single"/>
        </w:rPr>
        <w:t xml:space="preserve"> </w:t>
      </w:r>
      <w:r w:rsidRPr="00281428">
        <w:rPr>
          <w:b/>
          <w:sz w:val="20"/>
          <w:u w:val="single"/>
        </w:rPr>
        <w:t>and</w:t>
      </w:r>
      <w:r w:rsidRPr="00281428">
        <w:rPr>
          <w:b/>
          <w:spacing w:val="-9"/>
          <w:sz w:val="20"/>
          <w:u w:val="single"/>
        </w:rPr>
        <w:t xml:space="preserve"> </w:t>
      </w:r>
      <w:r w:rsidRPr="00281428">
        <w:rPr>
          <w:b/>
          <w:sz w:val="20"/>
          <w:u w:val="single"/>
        </w:rPr>
        <w:t>conspicuous</w:t>
      </w:r>
      <w:r w:rsidRPr="00281428">
        <w:rPr>
          <w:b/>
          <w:spacing w:val="-10"/>
          <w:sz w:val="20"/>
          <w:u w:val="single"/>
        </w:rPr>
        <w:t xml:space="preserve"> </w:t>
      </w:r>
      <w:r w:rsidRPr="00281428">
        <w:rPr>
          <w:b/>
          <w:sz w:val="20"/>
          <w:u w:val="single"/>
        </w:rPr>
        <w:t>manner</w:t>
      </w:r>
      <w:r w:rsidRPr="00281428">
        <w:rPr>
          <w:b/>
          <w:spacing w:val="-9"/>
          <w:sz w:val="20"/>
          <w:u w:val="single"/>
        </w:rPr>
        <w:t xml:space="preserve"> </w:t>
      </w:r>
      <w:r w:rsidRPr="00281428">
        <w:rPr>
          <w:b/>
          <w:sz w:val="20"/>
          <w:u w:val="single"/>
        </w:rPr>
        <w:t>on</w:t>
      </w:r>
      <w:r w:rsidRPr="00281428">
        <w:rPr>
          <w:b/>
          <w:spacing w:val="-10"/>
          <w:sz w:val="20"/>
          <w:u w:val="single"/>
        </w:rPr>
        <w:t xml:space="preserve"> </w:t>
      </w:r>
      <w:r w:rsidRPr="00281428">
        <w:rPr>
          <w:b/>
          <w:sz w:val="20"/>
          <w:u w:val="single"/>
        </w:rPr>
        <w:t>the</w:t>
      </w:r>
      <w:r w:rsidRPr="00281428">
        <w:rPr>
          <w:b/>
          <w:spacing w:val="-8"/>
          <w:sz w:val="20"/>
          <w:u w:val="single"/>
        </w:rPr>
        <w:t xml:space="preserve"> </w:t>
      </w:r>
      <w:r w:rsidRPr="00281428">
        <w:rPr>
          <w:b/>
          <w:sz w:val="20"/>
          <w:u w:val="single"/>
        </w:rPr>
        <w:t>principal</w:t>
      </w:r>
      <w:r w:rsidRPr="00281428">
        <w:rPr>
          <w:b/>
          <w:spacing w:val="-9"/>
          <w:sz w:val="20"/>
          <w:u w:val="single"/>
        </w:rPr>
        <w:t xml:space="preserve"> </w:t>
      </w:r>
      <w:r w:rsidRPr="00281428">
        <w:rPr>
          <w:b/>
          <w:sz w:val="20"/>
          <w:u w:val="single"/>
        </w:rPr>
        <w:t>display</w:t>
      </w:r>
      <w:r w:rsidRPr="00281428">
        <w:rPr>
          <w:b/>
          <w:spacing w:val="-8"/>
          <w:sz w:val="20"/>
          <w:u w:val="single"/>
        </w:rPr>
        <w:t xml:space="preserve"> </w:t>
      </w:r>
      <w:r w:rsidRPr="00281428">
        <w:rPr>
          <w:b/>
          <w:sz w:val="20"/>
          <w:u w:val="single"/>
        </w:rPr>
        <w:t>panel.</w:t>
      </w:r>
      <w:r w:rsidRPr="00281428">
        <w:rPr>
          <w:b/>
          <w:spacing w:val="-9"/>
          <w:sz w:val="20"/>
          <w:u w:val="single"/>
        </w:rPr>
        <w:t xml:space="preserve"> </w:t>
      </w:r>
      <w:r w:rsidRPr="00281428">
        <w:rPr>
          <w:b/>
          <w:sz w:val="20"/>
          <w:u w:val="single"/>
        </w:rPr>
        <w:t>(see 9 CFR 317.2)</w:t>
      </w:r>
    </w:p>
    <w:p w14:paraId="7232DE79" w14:textId="6ACD61CD" w:rsidR="00853F7C" w:rsidRPr="00281428" w:rsidRDefault="00853F7C" w:rsidP="00CD31EC">
      <w:pPr>
        <w:ind w:left="360"/>
        <w:rPr>
          <w:bCs/>
        </w:rPr>
      </w:pPr>
      <w:bookmarkStart w:id="69" w:name="_Hlk61500587"/>
      <w:r w:rsidRPr="00281428">
        <w:rPr>
          <w:b/>
        </w:rPr>
        <w:t>11.19</w:t>
      </w:r>
      <w:r w:rsidR="006360E4" w:rsidRPr="00281428">
        <w:rPr>
          <w:b/>
        </w:rPr>
        <w:t xml:space="preserve">. </w:t>
      </w:r>
      <w:r w:rsidRPr="00281428">
        <w:rPr>
          <w:b/>
        </w:rPr>
        <w:t xml:space="preserve"> Margarine. </w:t>
      </w:r>
      <w:r w:rsidRPr="00281428">
        <w:rPr>
          <w:rFonts w:ascii="Symbol" w:hAnsi="Symbol"/>
          <w:b/>
        </w:rPr>
        <w:t></w:t>
      </w:r>
      <w:r w:rsidRPr="00281428">
        <w:rPr>
          <w:b/>
        </w:rPr>
        <w:t xml:space="preserve"> </w:t>
      </w:r>
      <w:r w:rsidRPr="00281428">
        <w:t xml:space="preserve">Margarine in 1 lb rectangular packages, except for packages containing whipped or soft margarine or packages, containing more than four sticks, shall be exempt from the requirement in this regulation for location (see Section 8.1.1. Location) of the net quantity. </w:t>
      </w:r>
      <w:r w:rsidRPr="00281428">
        <w:rPr>
          <w:b/>
          <w:u w:val="single"/>
        </w:rPr>
        <w:t>The statement of net quantity shall appear in a clear and conspicuous manner on the principal display panel. (see 9 CFR 317.2)</w:t>
      </w:r>
    </w:p>
    <w:bookmarkEnd w:id="69"/>
    <w:p w14:paraId="2C83A157" w14:textId="22670932" w:rsidR="00815167" w:rsidRPr="00281428" w:rsidRDefault="00E33621" w:rsidP="00233506">
      <w:r w:rsidRPr="00281428">
        <w:rPr>
          <w:szCs w:val="20"/>
        </w:rPr>
        <w:t xml:space="preserve">Additional letters, presentation and data may have been submitted for consideration with this item.  Please refer to </w:t>
      </w:r>
      <w:hyperlink r:id="rId20" w:history="1">
        <w:r w:rsidR="003B739A" w:rsidRPr="00A766AF">
          <w:rPr>
            <w:rStyle w:val="Hyperlink"/>
            <w:noProof w:val="0"/>
            <w:color w:val="0000FF"/>
          </w:rPr>
          <w:t>https://www.ncwm.com/publication-16</w:t>
        </w:r>
      </w:hyperlink>
      <w:r w:rsidRPr="00281428">
        <w:rPr>
          <w:szCs w:val="20"/>
        </w:rPr>
        <w:t xml:space="preserve"> to review these documents</w:t>
      </w:r>
      <w:r w:rsidR="00233506" w:rsidRPr="00281428">
        <w:rPr>
          <w:bCs/>
        </w:rPr>
        <w:t>.</w:t>
      </w:r>
    </w:p>
    <w:p w14:paraId="6DE71D5E" w14:textId="1E6F5CFB" w:rsidR="00AD3439" w:rsidRPr="00281428" w:rsidRDefault="00503DF4" w:rsidP="005E5636">
      <w:pPr>
        <w:pStyle w:val="Heading1"/>
      </w:pPr>
      <w:bookmarkStart w:id="70" w:name="_Toc65741438"/>
      <w:bookmarkStart w:id="71" w:name="_Hlk35848909"/>
      <w:bookmarkEnd w:id="12"/>
      <w:bookmarkEnd w:id="67"/>
      <w:r w:rsidRPr="00281428">
        <w:lastRenderedPageBreak/>
        <w:t xml:space="preserve">MOS – </w:t>
      </w:r>
      <w:r w:rsidR="003E795D" w:rsidRPr="00281428">
        <w:t xml:space="preserve">UNIFORM REGULATION FOR THE </w:t>
      </w:r>
      <w:r w:rsidR="00AD3439" w:rsidRPr="00281428">
        <w:t xml:space="preserve">METHOD OF SALE </w:t>
      </w:r>
      <w:r w:rsidR="00846BB5" w:rsidRPr="00281428">
        <w:t xml:space="preserve">of </w:t>
      </w:r>
      <w:r w:rsidR="003E795D" w:rsidRPr="00281428">
        <w:t>COMMODITIES</w:t>
      </w:r>
      <w:bookmarkEnd w:id="70"/>
    </w:p>
    <w:p w14:paraId="2D832AEA" w14:textId="3965DC07" w:rsidR="006D4BCB" w:rsidRPr="00281428" w:rsidRDefault="006D4BCB" w:rsidP="005E5636">
      <w:pPr>
        <w:pStyle w:val="ItemHeading"/>
      </w:pPr>
      <w:bookmarkStart w:id="72" w:name="_Toc65741439"/>
      <w:bookmarkStart w:id="73" w:name="_Hlk17809807"/>
      <w:bookmarkStart w:id="74" w:name="_Hlk61512570"/>
      <w:bookmarkEnd w:id="71"/>
      <w:r w:rsidRPr="00281428">
        <w:t>MOS-20.5</w:t>
      </w:r>
      <w:r w:rsidRPr="00281428">
        <w:tab/>
      </w:r>
      <w:r w:rsidR="00983EE6" w:rsidRPr="00281428">
        <w:t>V</w:t>
      </w:r>
      <w:r w:rsidRPr="00281428">
        <w:tab/>
      </w:r>
      <w:r w:rsidR="00A55661" w:rsidRPr="00281428">
        <w:t xml:space="preserve">Section </w:t>
      </w:r>
      <w:r w:rsidRPr="00281428">
        <w:t xml:space="preserve">2.21. </w:t>
      </w:r>
      <w:r w:rsidR="00D8681A" w:rsidRPr="00281428">
        <w:t xml:space="preserve"> </w:t>
      </w:r>
      <w:r w:rsidRPr="00281428">
        <w:t>Liquefied Petroleum Gas</w:t>
      </w:r>
      <w:bookmarkEnd w:id="72"/>
    </w:p>
    <w:p w14:paraId="1C121BD7" w14:textId="77777777" w:rsidR="006D4BCB" w:rsidRPr="00281428" w:rsidRDefault="006D4BCB" w:rsidP="005E5636">
      <w:pPr>
        <w:keepNext/>
        <w:keepLines/>
        <w:spacing w:after="0"/>
        <w:rPr>
          <w:b/>
          <w:szCs w:val="20"/>
        </w:rPr>
      </w:pPr>
      <w:r w:rsidRPr="00281428">
        <w:rPr>
          <w:b/>
          <w:szCs w:val="20"/>
        </w:rPr>
        <w:t>Source:</w:t>
      </w:r>
    </w:p>
    <w:p w14:paraId="7DC2CFDB" w14:textId="481CD939" w:rsidR="006D4BCB" w:rsidRPr="00281428" w:rsidRDefault="006D4BCB" w:rsidP="00826B58">
      <w:pPr>
        <w:keepNext/>
        <w:keepLines/>
        <w:rPr>
          <w:bCs/>
          <w:szCs w:val="20"/>
        </w:rPr>
      </w:pPr>
      <w:r w:rsidRPr="00281428">
        <w:rPr>
          <w:bCs/>
          <w:szCs w:val="20"/>
        </w:rPr>
        <w:t>Arizona Dep</w:t>
      </w:r>
      <w:r w:rsidR="00701E53" w:rsidRPr="00281428">
        <w:rPr>
          <w:bCs/>
          <w:szCs w:val="20"/>
        </w:rPr>
        <w:t>artment</w:t>
      </w:r>
      <w:r w:rsidRPr="00281428">
        <w:rPr>
          <w:bCs/>
          <w:szCs w:val="20"/>
        </w:rPr>
        <w:t xml:space="preserve"> of Agriculture, Weights and Measures Services Division</w:t>
      </w:r>
    </w:p>
    <w:p w14:paraId="35AD1313" w14:textId="77777777" w:rsidR="006D4BCB" w:rsidRPr="00281428" w:rsidRDefault="006D4BCB" w:rsidP="005E5636">
      <w:pPr>
        <w:keepNext/>
        <w:keepLines/>
        <w:spacing w:after="0"/>
        <w:rPr>
          <w:b/>
        </w:rPr>
      </w:pPr>
      <w:r w:rsidRPr="00281428">
        <w:rPr>
          <w:b/>
          <w:szCs w:val="20"/>
        </w:rPr>
        <w:t>Purpose:</w:t>
      </w:r>
    </w:p>
    <w:p w14:paraId="4BC185F6" w14:textId="2C9246DD" w:rsidR="006D4BCB" w:rsidRPr="00281428" w:rsidRDefault="006D4BCB" w:rsidP="005E5636">
      <w:pPr>
        <w:keepNext/>
        <w:keepLines/>
        <w:jc w:val="left"/>
        <w:rPr>
          <w:szCs w:val="20"/>
        </w:rPr>
      </w:pPr>
      <w:r w:rsidRPr="00281428">
        <w:rPr>
          <w:szCs w:val="20"/>
        </w:rPr>
        <w:t>Provide clarity and consistency regarding the method of sale (MOS) for liquefied petroleum gas (LPG) through a meter that has a maximum rated capacity of 20 gal/min or less.</w:t>
      </w:r>
    </w:p>
    <w:p w14:paraId="5A3D01D6" w14:textId="77777777" w:rsidR="006D4BCB" w:rsidRPr="00281428" w:rsidRDefault="006D4BCB" w:rsidP="005E5636">
      <w:pPr>
        <w:keepNext/>
        <w:keepLines/>
        <w:spacing w:after="0"/>
        <w:rPr>
          <w:b/>
          <w:bCs/>
        </w:rPr>
      </w:pPr>
      <w:r w:rsidRPr="00281428">
        <w:rPr>
          <w:b/>
          <w:bCs/>
        </w:rPr>
        <w:t>Item Under Consideration:</w:t>
      </w:r>
    </w:p>
    <w:p w14:paraId="717C55EA" w14:textId="04F333EA" w:rsidR="006D4BCB" w:rsidRPr="00281428" w:rsidRDefault="006D4BCB" w:rsidP="005E5636">
      <w:pPr>
        <w:keepNext/>
        <w:keepLines/>
        <w:rPr>
          <w:szCs w:val="20"/>
        </w:rPr>
      </w:pPr>
      <w:r w:rsidRPr="00281428">
        <w:rPr>
          <w:szCs w:val="20"/>
        </w:rPr>
        <w:t>Amend Handbook 130</w:t>
      </w:r>
      <w:r w:rsidR="00701E53" w:rsidRPr="00281428">
        <w:rPr>
          <w:szCs w:val="20"/>
        </w:rPr>
        <w:t>,</w:t>
      </w:r>
      <w:r w:rsidRPr="00281428">
        <w:rPr>
          <w:szCs w:val="20"/>
        </w:rPr>
        <w:t xml:space="preserve"> Uniform Regulation for the Method of Sale of Commodities</w:t>
      </w:r>
      <w:r w:rsidR="006A4FAD" w:rsidRPr="00281428">
        <w:rPr>
          <w:szCs w:val="20"/>
        </w:rPr>
        <w:t>,</w:t>
      </w:r>
      <w:r w:rsidRPr="00281428">
        <w:rPr>
          <w:szCs w:val="20"/>
        </w:rPr>
        <w:t xml:space="preserve"> as follows:</w:t>
      </w:r>
    </w:p>
    <w:p w14:paraId="454E0EBE" w14:textId="77777777" w:rsidR="00CD31EC" w:rsidRPr="00281428" w:rsidRDefault="00CD31EC" w:rsidP="00CD31EC">
      <w:pPr>
        <w:spacing w:after="200"/>
        <w:rPr>
          <w:color w:val="000000"/>
          <w:szCs w:val="20"/>
        </w:rPr>
      </w:pPr>
      <w:bookmarkStart w:id="75" w:name="_Hlk60828956"/>
      <w:r w:rsidRPr="00281428">
        <w:rPr>
          <w:b/>
          <w:bCs/>
          <w:color w:val="000000"/>
          <w:szCs w:val="20"/>
        </w:rPr>
        <w:t>2.21.  Liquefied Petroleum Gas.</w:t>
      </w:r>
      <w:r w:rsidRPr="00281428">
        <w:rPr>
          <w:color w:val="000000"/>
          <w:szCs w:val="20"/>
        </w:rPr>
        <w:t xml:space="preserve"> </w:t>
      </w:r>
    </w:p>
    <w:p w14:paraId="5E987766" w14:textId="6E04A106" w:rsidR="00CD31EC" w:rsidRPr="00281428" w:rsidRDefault="00CD31EC">
      <w:pPr>
        <w:spacing w:after="200"/>
        <w:ind w:left="360"/>
        <w:rPr>
          <w:b/>
          <w:bCs/>
          <w:color w:val="000000"/>
          <w:szCs w:val="20"/>
          <w:u w:val="single"/>
        </w:rPr>
      </w:pPr>
      <w:r w:rsidRPr="00281428">
        <w:rPr>
          <w:b/>
          <w:bCs/>
          <w:color w:val="000000"/>
          <w:szCs w:val="20"/>
        </w:rPr>
        <w:t>2.21.1</w:t>
      </w:r>
      <w:r w:rsidR="00021045" w:rsidRPr="00281428">
        <w:rPr>
          <w:b/>
          <w:bCs/>
          <w:color w:val="000000"/>
          <w:szCs w:val="20"/>
        </w:rPr>
        <w:t>.</w:t>
      </w:r>
      <w:r w:rsidRPr="00281428">
        <w:rPr>
          <w:b/>
          <w:bCs/>
          <w:color w:val="000000"/>
          <w:szCs w:val="20"/>
        </w:rPr>
        <w:t xml:space="preserve">  Method of Sale.</w:t>
      </w:r>
      <w:r w:rsidRPr="00281428">
        <w:rPr>
          <w:color w:val="000000"/>
          <w:szCs w:val="20"/>
        </w:rPr>
        <w:t xml:space="preserve"> </w:t>
      </w:r>
      <w:r w:rsidRPr="00281428">
        <w:rPr>
          <w:color w:val="000000"/>
          <w:szCs w:val="20"/>
        </w:rPr>
        <w:sym w:font="Symbol" w:char="F02D"/>
      </w:r>
      <w:r w:rsidRPr="00281428">
        <w:rPr>
          <w:color w:val="000000"/>
          <w:szCs w:val="20"/>
        </w:rPr>
        <w:t xml:space="preserve"> All liquefied petroleum gas, including, but not limited to propane, butane, and mixtures thereof, shall be kept, offered, exposed for sale, or sold by the</w:t>
      </w:r>
      <w:r w:rsidRPr="00281428">
        <w:rPr>
          <w:b/>
          <w:bCs/>
          <w:color w:val="000000"/>
          <w:szCs w:val="20"/>
          <w:u w:val="single"/>
        </w:rPr>
        <w:t xml:space="preserve"> following methods of sale.  If kept, offered, exposed for sale, or sold by:</w:t>
      </w:r>
    </w:p>
    <w:p w14:paraId="1A295EDF" w14:textId="77777777" w:rsidR="00CD31EC" w:rsidRPr="00281428" w:rsidRDefault="00CD31EC" w:rsidP="00FF4509">
      <w:pPr>
        <w:numPr>
          <w:ilvl w:val="3"/>
          <w:numId w:val="66"/>
        </w:numPr>
        <w:spacing w:after="200"/>
        <w:ind w:left="1080"/>
        <w:outlineLvl w:val="1"/>
        <w:rPr>
          <w:szCs w:val="20"/>
        </w:rPr>
      </w:pPr>
      <w:r w:rsidRPr="00281428">
        <w:rPr>
          <w:b/>
          <w:bCs/>
          <w:szCs w:val="20"/>
        </w:rPr>
        <w:t>Weight</w:t>
      </w:r>
      <w:r w:rsidRPr="00281428">
        <w:rPr>
          <w:szCs w:val="20"/>
        </w:rPr>
        <w:t xml:space="preserve">: by the </w:t>
      </w:r>
      <w:r w:rsidRPr="00281428">
        <w:rPr>
          <w:b/>
          <w:bCs/>
          <w:szCs w:val="20"/>
          <w:u w:val="single"/>
        </w:rPr>
        <w:t>kilogram</w:t>
      </w:r>
      <w:r w:rsidRPr="00281428">
        <w:rPr>
          <w:szCs w:val="20"/>
        </w:rPr>
        <w:t xml:space="preserve"> or pound; or by, </w:t>
      </w:r>
    </w:p>
    <w:p w14:paraId="40294A2F" w14:textId="77777777" w:rsidR="00CD31EC" w:rsidRPr="00281428" w:rsidRDefault="00CD31EC" w:rsidP="00FF4509">
      <w:pPr>
        <w:numPr>
          <w:ilvl w:val="3"/>
          <w:numId w:val="66"/>
        </w:numPr>
        <w:spacing w:after="200"/>
        <w:ind w:left="1080"/>
        <w:outlineLvl w:val="1"/>
        <w:rPr>
          <w:szCs w:val="20"/>
        </w:rPr>
      </w:pPr>
      <w:r w:rsidRPr="00281428">
        <w:rPr>
          <w:b/>
          <w:bCs/>
          <w:szCs w:val="20"/>
        </w:rPr>
        <w:t>Gas</w:t>
      </w:r>
      <w:r w:rsidRPr="00281428">
        <w:rPr>
          <w:b/>
          <w:bCs/>
          <w:szCs w:val="20"/>
          <w:u w:val="single"/>
        </w:rPr>
        <w:t>eous Volume:</w:t>
      </w:r>
      <w:r w:rsidRPr="00281428">
        <w:rPr>
          <w:szCs w:val="20"/>
        </w:rPr>
        <w:t xml:space="preserve"> </w:t>
      </w:r>
      <w:r w:rsidRPr="00281428">
        <w:rPr>
          <w:b/>
          <w:bCs/>
          <w:szCs w:val="20"/>
          <w:u w:val="single"/>
        </w:rPr>
        <w:t>by the metered cubic meter of vapor (defined as 1 m</w:t>
      </w:r>
      <w:r w:rsidRPr="00281428">
        <w:rPr>
          <w:b/>
          <w:bCs/>
          <w:szCs w:val="20"/>
          <w:u w:val="single"/>
          <w:vertAlign w:val="superscript"/>
        </w:rPr>
        <w:t>3</w:t>
      </w:r>
      <w:r w:rsidRPr="00281428">
        <w:rPr>
          <w:b/>
          <w:bCs/>
          <w:position w:val="14"/>
          <w:szCs w:val="20"/>
          <w:u w:val="single"/>
          <w:vertAlign w:val="superscript"/>
        </w:rPr>
        <w:t xml:space="preserve"> </w:t>
      </w:r>
      <w:r w:rsidRPr="00281428">
        <w:rPr>
          <w:b/>
          <w:bCs/>
          <w:szCs w:val="20"/>
          <w:u w:val="single"/>
        </w:rPr>
        <w:t>at 15 °C)</w:t>
      </w:r>
      <w:r w:rsidRPr="00281428">
        <w:rPr>
          <w:b/>
          <w:bCs/>
          <w:szCs w:val="20"/>
        </w:rPr>
        <w:t>;</w:t>
      </w:r>
      <w:r w:rsidRPr="00281428">
        <w:rPr>
          <w:szCs w:val="20"/>
        </w:rPr>
        <w:t xml:space="preserve"> or metered cubic foot of vapor (defined as 1 ft</w:t>
      </w:r>
      <w:r w:rsidRPr="00281428">
        <w:rPr>
          <w:szCs w:val="20"/>
          <w:vertAlign w:val="superscript"/>
        </w:rPr>
        <w:t>3</w:t>
      </w:r>
      <w:r w:rsidRPr="00281428">
        <w:rPr>
          <w:position w:val="14"/>
          <w:szCs w:val="20"/>
          <w:vertAlign w:val="superscript"/>
        </w:rPr>
        <w:t xml:space="preserve"> </w:t>
      </w:r>
      <w:r w:rsidRPr="00281428">
        <w:rPr>
          <w:szCs w:val="20"/>
        </w:rPr>
        <w:t>at 60 °F) [</w:t>
      </w:r>
      <w:r w:rsidRPr="00281428">
        <w:rPr>
          <w:b/>
          <w:bCs/>
          <w:szCs w:val="20"/>
          <w:u w:val="single"/>
        </w:rPr>
        <w:t xml:space="preserve">See Section 2.21. </w:t>
      </w:r>
      <w:r w:rsidRPr="00281428">
        <w:rPr>
          <w:b/>
          <w:bCs/>
          <w:szCs w:val="20"/>
        </w:rPr>
        <w:t>Note</w:t>
      </w:r>
      <w:r w:rsidRPr="00281428">
        <w:rPr>
          <w:b/>
          <w:bCs/>
          <w:strike/>
          <w:szCs w:val="20"/>
          <w:vertAlign w:val="superscript"/>
        </w:rPr>
        <w:t xml:space="preserve"> 7, page 131</w:t>
      </w:r>
      <w:r w:rsidRPr="00281428">
        <w:rPr>
          <w:szCs w:val="20"/>
        </w:rPr>
        <w:t xml:space="preserve"> </w:t>
      </w:r>
      <w:r w:rsidRPr="00281428">
        <w:rPr>
          <w:b/>
          <w:bCs/>
          <w:szCs w:val="20"/>
          <w:u w:val="single"/>
        </w:rPr>
        <w:t>below</w:t>
      </w:r>
      <w:r w:rsidRPr="00281428">
        <w:rPr>
          <w:szCs w:val="20"/>
        </w:rPr>
        <w:t xml:space="preserve">]; or by, </w:t>
      </w:r>
    </w:p>
    <w:p w14:paraId="0B0FB742" w14:textId="77777777" w:rsidR="00CD31EC" w:rsidRPr="00281428" w:rsidRDefault="00CD31EC" w:rsidP="00FF4509">
      <w:pPr>
        <w:numPr>
          <w:ilvl w:val="3"/>
          <w:numId w:val="66"/>
        </w:numPr>
        <w:spacing w:after="200"/>
        <w:ind w:left="1080"/>
        <w:outlineLvl w:val="1"/>
        <w:rPr>
          <w:szCs w:val="20"/>
        </w:rPr>
      </w:pPr>
      <w:r w:rsidRPr="00281428">
        <w:rPr>
          <w:b/>
          <w:bCs/>
          <w:szCs w:val="20"/>
        </w:rPr>
        <w:t>Liquid</w:t>
      </w:r>
      <w:r w:rsidRPr="00281428">
        <w:rPr>
          <w:szCs w:val="20"/>
        </w:rPr>
        <w:t xml:space="preserve">: </w:t>
      </w:r>
      <w:r w:rsidRPr="00281428">
        <w:rPr>
          <w:b/>
          <w:bCs/>
          <w:szCs w:val="20"/>
          <w:u w:val="single"/>
        </w:rPr>
        <w:t>by the liter (defined as 1 liter at 15 °C) or</w:t>
      </w:r>
      <w:r w:rsidRPr="00281428">
        <w:rPr>
          <w:szCs w:val="20"/>
        </w:rPr>
        <w:t xml:space="preserve"> the gallon (defined as 231 in</w:t>
      </w:r>
      <w:r w:rsidRPr="00281428">
        <w:rPr>
          <w:szCs w:val="20"/>
          <w:vertAlign w:val="superscript"/>
        </w:rPr>
        <w:t>3</w:t>
      </w:r>
      <w:r w:rsidRPr="00281428">
        <w:rPr>
          <w:position w:val="14"/>
          <w:szCs w:val="20"/>
          <w:vertAlign w:val="superscript"/>
        </w:rPr>
        <w:t xml:space="preserve"> </w:t>
      </w:r>
      <w:r w:rsidRPr="00281428">
        <w:rPr>
          <w:szCs w:val="20"/>
        </w:rPr>
        <w:t xml:space="preserve">at 60 °F).  </w:t>
      </w:r>
      <w:r w:rsidRPr="00281428">
        <w:rPr>
          <w:b/>
          <w:bCs/>
          <w:strike/>
          <w:szCs w:val="20"/>
        </w:rPr>
        <w:t>All metered sales by the or gallon, except those using meters with a maximum rated capacity of (20 gal)/min or less, shall be accomplished by use of a meter and device that automatically compensates for temperature</w:t>
      </w:r>
      <w:r w:rsidRPr="00281428">
        <w:rPr>
          <w:szCs w:val="20"/>
        </w:rPr>
        <w:t>.</w:t>
      </w:r>
    </w:p>
    <w:p w14:paraId="74F60BB5" w14:textId="3005DA91" w:rsidR="00CD31EC" w:rsidRPr="00281428" w:rsidRDefault="00CD31EC">
      <w:pPr>
        <w:ind w:left="360"/>
        <w:rPr>
          <w:szCs w:val="20"/>
        </w:rPr>
      </w:pPr>
      <w:r w:rsidRPr="00281428">
        <w:rPr>
          <w:b/>
          <w:bCs/>
          <w:szCs w:val="20"/>
          <w:u w:val="single"/>
        </w:rPr>
        <w:t xml:space="preserve">2.21.2.  Metered Sales by Liquid Volume. </w:t>
      </w:r>
      <w:r w:rsidRPr="00281428">
        <w:rPr>
          <w:b/>
          <w:bCs/>
          <w:szCs w:val="20"/>
          <w:u w:val="single"/>
        </w:rPr>
        <w:sym w:font="Symbol" w:char="F02D"/>
      </w:r>
      <w:r w:rsidRPr="00281428">
        <w:rPr>
          <w:b/>
          <w:bCs/>
          <w:szCs w:val="20"/>
          <w:u w:val="single"/>
        </w:rPr>
        <w:t xml:space="preserve"> All metered sales by liquid volume shall be accomplished using metering systems as follows:</w:t>
      </w:r>
    </w:p>
    <w:p w14:paraId="1E2C0974" w14:textId="77777777" w:rsidR="00CD31EC" w:rsidRPr="00281428" w:rsidRDefault="00CD31EC" w:rsidP="00FF4509">
      <w:pPr>
        <w:numPr>
          <w:ilvl w:val="0"/>
          <w:numId w:val="65"/>
        </w:numPr>
        <w:spacing w:after="200"/>
        <w:ind w:left="1080"/>
        <w:outlineLvl w:val="1"/>
        <w:rPr>
          <w:szCs w:val="20"/>
          <w:u w:val="single"/>
        </w:rPr>
      </w:pPr>
      <w:r w:rsidRPr="00281428">
        <w:rPr>
          <w:b/>
          <w:bCs/>
          <w:szCs w:val="20"/>
          <w:u w:val="single"/>
        </w:rPr>
        <w:t xml:space="preserve">Sales using metering systems with a maximum rated capacity greater than or equal to 20 gal/min shall be accomplished </w:t>
      </w:r>
      <w:proofErr w:type="gramStart"/>
      <w:r w:rsidRPr="00281428">
        <w:rPr>
          <w:b/>
          <w:bCs/>
          <w:szCs w:val="20"/>
          <w:u w:val="single"/>
        </w:rPr>
        <w:t>by the use of</w:t>
      </w:r>
      <w:proofErr w:type="gramEnd"/>
      <w:r w:rsidRPr="00281428">
        <w:rPr>
          <w:b/>
          <w:bCs/>
          <w:szCs w:val="20"/>
          <w:u w:val="single"/>
        </w:rPr>
        <w:t xml:space="preserve"> a meter and device that automatically compensates for the effects of temperature.</w:t>
      </w:r>
    </w:p>
    <w:p w14:paraId="1A7373CB" w14:textId="77777777" w:rsidR="00CD31EC" w:rsidRPr="00281428" w:rsidRDefault="00CD31EC" w:rsidP="00FF4509">
      <w:pPr>
        <w:numPr>
          <w:ilvl w:val="0"/>
          <w:numId w:val="65"/>
        </w:numPr>
        <w:spacing w:after="200"/>
        <w:ind w:left="1080"/>
        <w:outlineLvl w:val="1"/>
        <w:rPr>
          <w:szCs w:val="20"/>
          <w:u w:val="single"/>
        </w:rPr>
      </w:pPr>
      <w:r w:rsidRPr="00281428">
        <w:rPr>
          <w:b/>
          <w:bCs/>
          <w:szCs w:val="20"/>
          <w:u w:val="single"/>
        </w:rPr>
        <w:t>Sales using metering systems with a maximum rated capacity less than 20 gal/min that were placed into service after January 1, 2023 shall be accomplished by use of a meter and device that automatically compensates for the effects of temperature.</w:t>
      </w:r>
    </w:p>
    <w:p w14:paraId="5A2E059E" w14:textId="77777777" w:rsidR="00CD31EC" w:rsidRPr="00281428" w:rsidRDefault="00CD31EC" w:rsidP="00FF4509">
      <w:pPr>
        <w:numPr>
          <w:ilvl w:val="0"/>
          <w:numId w:val="65"/>
        </w:numPr>
        <w:spacing w:after="200"/>
        <w:ind w:left="1080"/>
        <w:outlineLvl w:val="1"/>
        <w:rPr>
          <w:szCs w:val="20"/>
          <w:u w:val="single"/>
        </w:rPr>
      </w:pPr>
      <w:r w:rsidRPr="00281428">
        <w:rPr>
          <w:b/>
          <w:bCs/>
          <w:szCs w:val="20"/>
          <w:u w:val="single"/>
        </w:rPr>
        <w:t>Effective January 1, 2030, all metered sales (through all capacities of metering devices, regardless of installation and service date) shall be accomplished by use of a meter and device that automatically compensates for temperature.</w:t>
      </w:r>
    </w:p>
    <w:p w14:paraId="329A5431" w14:textId="77777777" w:rsidR="00CD31EC" w:rsidRPr="00281428" w:rsidRDefault="00CD31EC" w:rsidP="00FF4509">
      <w:pPr>
        <w:spacing w:after="60"/>
        <w:rPr>
          <w:i/>
          <w:iCs/>
          <w:szCs w:val="20"/>
        </w:rPr>
      </w:pPr>
      <w:r w:rsidRPr="00281428">
        <w:rPr>
          <w:b/>
          <w:bCs/>
          <w:i/>
          <w:iCs/>
          <w:szCs w:val="20"/>
          <w:u w:val="single"/>
        </w:rPr>
        <w:t>Section 2.21.</w:t>
      </w:r>
      <w:r w:rsidRPr="00281428">
        <w:rPr>
          <w:b/>
          <w:bCs/>
          <w:i/>
          <w:iCs/>
          <w:szCs w:val="20"/>
        </w:rPr>
        <w:t xml:space="preserve"> NOTE </w:t>
      </w:r>
      <w:r w:rsidRPr="00281428">
        <w:rPr>
          <w:b/>
          <w:bCs/>
          <w:i/>
          <w:iCs/>
          <w:strike/>
          <w:szCs w:val="20"/>
        </w:rPr>
        <w:t>8</w:t>
      </w:r>
      <w:r w:rsidRPr="00281428">
        <w:rPr>
          <w:b/>
          <w:bCs/>
          <w:i/>
          <w:iCs/>
          <w:szCs w:val="20"/>
        </w:rPr>
        <w:t xml:space="preserve">: </w:t>
      </w:r>
      <w:r w:rsidRPr="00281428">
        <w:rPr>
          <w:i/>
          <w:iCs/>
          <w:szCs w:val="20"/>
        </w:rPr>
        <w:t xml:space="preserve"> Sources:  </w:t>
      </w:r>
      <w:r w:rsidRPr="00281428">
        <w:rPr>
          <w:b/>
          <w:bCs/>
          <w:i/>
          <w:iCs/>
          <w:strike/>
          <w:szCs w:val="20"/>
        </w:rPr>
        <w:t>American National Standards Institute, Inc.,</w:t>
      </w:r>
      <w:r w:rsidRPr="00281428">
        <w:rPr>
          <w:i/>
          <w:iCs/>
          <w:szCs w:val="20"/>
        </w:rPr>
        <w:t xml:space="preserve"> ANSI B109.1 (</w:t>
      </w:r>
      <w:r w:rsidRPr="00281428">
        <w:rPr>
          <w:b/>
          <w:bCs/>
          <w:i/>
          <w:iCs/>
          <w:strike/>
          <w:szCs w:val="20"/>
        </w:rPr>
        <w:t>2008</w:t>
      </w:r>
      <w:r w:rsidRPr="00281428">
        <w:rPr>
          <w:b/>
          <w:bCs/>
          <w:i/>
          <w:iCs/>
          <w:szCs w:val="20"/>
          <w:u w:val="single"/>
        </w:rPr>
        <w:t>2000</w:t>
      </w:r>
      <w:r w:rsidRPr="00281428">
        <w:rPr>
          <w:i/>
          <w:iCs/>
          <w:szCs w:val="20"/>
        </w:rPr>
        <w:t>), “</w:t>
      </w:r>
      <w:r w:rsidRPr="00281428">
        <w:rPr>
          <w:b/>
          <w:bCs/>
          <w:i/>
          <w:iCs/>
          <w:strike/>
          <w:szCs w:val="20"/>
        </w:rPr>
        <w:t xml:space="preserve">American National Standard </w:t>
      </w:r>
      <w:proofErr w:type="gramStart"/>
      <w:r w:rsidRPr="00281428">
        <w:rPr>
          <w:i/>
          <w:iCs/>
          <w:szCs w:val="20"/>
        </w:rPr>
        <w:t>For</w:t>
      </w:r>
      <w:proofErr w:type="gramEnd"/>
      <w:r w:rsidRPr="00281428">
        <w:rPr>
          <w:i/>
          <w:iCs/>
          <w:szCs w:val="20"/>
        </w:rPr>
        <w:t xml:space="preserve"> Diaphragm-Type Gas Displacement Meters (</w:t>
      </w:r>
      <w:r w:rsidRPr="00281428">
        <w:rPr>
          <w:b/>
          <w:bCs/>
          <w:i/>
          <w:iCs/>
          <w:strike/>
          <w:szCs w:val="20"/>
        </w:rPr>
        <w:t>14.16 Cubic Meters [</w:t>
      </w:r>
      <w:r w:rsidRPr="00281428">
        <w:rPr>
          <w:b/>
          <w:bCs/>
          <w:i/>
          <w:iCs/>
          <w:szCs w:val="20"/>
          <w:u w:val="single"/>
        </w:rPr>
        <w:t xml:space="preserve">Under </w:t>
      </w:r>
      <w:r w:rsidRPr="00281428">
        <w:rPr>
          <w:i/>
          <w:iCs/>
          <w:szCs w:val="20"/>
        </w:rPr>
        <w:t>500 Cubic Feet</w:t>
      </w:r>
      <w:r w:rsidRPr="00281428">
        <w:rPr>
          <w:b/>
          <w:bCs/>
          <w:i/>
          <w:iCs/>
          <w:strike/>
          <w:szCs w:val="20"/>
        </w:rPr>
        <w:t>]</w:t>
      </w:r>
      <w:r w:rsidRPr="00281428">
        <w:rPr>
          <w:i/>
          <w:iCs/>
          <w:szCs w:val="20"/>
        </w:rPr>
        <w:t xml:space="preserve"> Per Hour Capacity </w:t>
      </w:r>
      <w:r w:rsidRPr="00281428">
        <w:rPr>
          <w:b/>
          <w:bCs/>
          <w:i/>
          <w:iCs/>
          <w:strike/>
          <w:szCs w:val="20"/>
        </w:rPr>
        <w:t>and Under</w:t>
      </w:r>
      <w:r w:rsidRPr="00281428">
        <w:rPr>
          <w:i/>
          <w:iCs/>
          <w:szCs w:val="20"/>
        </w:rPr>
        <w:t>),” and NIST Handbook 44, “Specifications, Tolerances, and Other Technical Requirements for Weighing and Measuring Devices.”</w:t>
      </w:r>
    </w:p>
    <w:p w14:paraId="659CB4D0" w14:textId="77777777" w:rsidR="00CD31EC" w:rsidRPr="00281428" w:rsidRDefault="00CD31EC" w:rsidP="00CD31EC">
      <w:pPr>
        <w:rPr>
          <w:szCs w:val="20"/>
        </w:rPr>
      </w:pPr>
      <w:r w:rsidRPr="00281428">
        <w:rPr>
          <w:szCs w:val="20"/>
        </w:rPr>
        <w:t>(Added 1986</w:t>
      </w:r>
      <w:r w:rsidRPr="00281428">
        <w:rPr>
          <w:b/>
          <w:bCs/>
          <w:szCs w:val="20"/>
          <w:u w:val="single"/>
        </w:rPr>
        <w:t>, Amended 20XX</w:t>
      </w:r>
      <w:r w:rsidRPr="00281428">
        <w:rPr>
          <w:szCs w:val="20"/>
        </w:rPr>
        <w:t>)</w:t>
      </w:r>
    </w:p>
    <w:bookmarkEnd w:id="75"/>
    <w:p w14:paraId="73FA392C" w14:textId="77777777" w:rsidR="003B1A9B" w:rsidRPr="00281428" w:rsidRDefault="003B1A9B" w:rsidP="003B1A9B">
      <w:pPr>
        <w:spacing w:after="0"/>
      </w:pPr>
      <w:r w:rsidRPr="00281428">
        <w:rPr>
          <w:b/>
        </w:rPr>
        <w:t>Background/Discussion:</w:t>
      </w:r>
      <w:r w:rsidRPr="00281428">
        <w:t xml:space="preserve">  </w:t>
      </w:r>
    </w:p>
    <w:p w14:paraId="61703D9A" w14:textId="77777777" w:rsidR="003B1A9B" w:rsidRPr="00281428" w:rsidRDefault="003B1A9B" w:rsidP="003B1A9B">
      <w:pPr>
        <w:spacing w:before="40"/>
        <w:rPr>
          <w:szCs w:val="20"/>
        </w:rPr>
      </w:pPr>
      <w:bookmarkStart w:id="76" w:name="_Hlk17809646"/>
      <w:r w:rsidRPr="00281428">
        <w:rPr>
          <w:szCs w:val="20"/>
        </w:rPr>
        <w:t>There appears to be a lack of clarity and consistency regarding the method of sale (MOS) for liquefied petroleum gas (LPG) through a meter that has a maximum rated capacity of 20 gal/min or less.</w:t>
      </w:r>
      <w:bookmarkEnd w:id="76"/>
      <w:r w:rsidRPr="00281428">
        <w:rPr>
          <w:szCs w:val="20"/>
        </w:rPr>
        <w:t xml:space="preserve">  The Uniform Regulation for the Method of Sale of Commodities, Section 2.2. Liquified Petroleum Gas specifically exempts these meters from the use </w:t>
      </w:r>
      <w:r w:rsidRPr="00281428">
        <w:rPr>
          <w:szCs w:val="20"/>
        </w:rPr>
        <w:lastRenderedPageBreak/>
        <w:t xml:space="preserve">of </w:t>
      </w:r>
      <w:r w:rsidRPr="00281428">
        <w:rPr>
          <w:szCs w:val="20"/>
          <w:u w:val="single"/>
        </w:rPr>
        <w:t>automatic</w:t>
      </w:r>
      <w:r w:rsidRPr="00281428">
        <w:rPr>
          <w:szCs w:val="20"/>
        </w:rPr>
        <w:t xml:space="preserve"> temperature compensation but defines a gallon as 231 in</w:t>
      </w:r>
      <w:r w:rsidRPr="00281428">
        <w:rPr>
          <w:szCs w:val="20"/>
          <w:vertAlign w:val="superscript"/>
        </w:rPr>
        <w:t>3</w:t>
      </w:r>
      <w:r w:rsidRPr="00281428">
        <w:rPr>
          <w:szCs w:val="20"/>
        </w:rPr>
        <w:t xml:space="preserve"> at 60 °F [15.6 °C].  With this definition, it can be interpreted that, while automatic temperature compensation is not required, the sale of LPG shall be temperature compensated through manual means (or alternatively sold by weight).  Temperature compensation manually requires the use temperature readings and a chart to manually perform conversions to determine the volume sold.</w:t>
      </w:r>
    </w:p>
    <w:p w14:paraId="29F81716" w14:textId="77777777" w:rsidR="003B1A9B" w:rsidRPr="00281428" w:rsidRDefault="003B1A9B" w:rsidP="003B1A9B">
      <w:pPr>
        <w:spacing w:before="40"/>
        <w:rPr>
          <w:szCs w:val="20"/>
        </w:rPr>
      </w:pPr>
      <w:r w:rsidRPr="00281428">
        <w:rPr>
          <w:szCs w:val="20"/>
        </w:rPr>
        <w:t xml:space="preserve">When discussing potential implementation of these requirements, propane industry officials in Arizona noted that other states do not require sale of LPG through these smaller meters to be temperature compensated or sold by weight and cited numerous problems with manual calibration or changing the MOS to sell by weight.  An informal survey of western states appears to support that most do not enforce this requirement to sell LPG through these smaller meters by weight or temperature compensated. </w:t>
      </w:r>
    </w:p>
    <w:p w14:paraId="2D9A6E2D" w14:textId="77777777" w:rsidR="003B1A9B" w:rsidRPr="00281428" w:rsidRDefault="003B1A9B" w:rsidP="003B1A9B">
      <w:r w:rsidRPr="00281428">
        <w:rPr>
          <w:szCs w:val="20"/>
        </w:rPr>
        <w:t>Due to the inconsistency with the method of sale between various states and interpretation of this section, it is being proposed to exempt the sale of LPG through these smaller meters from temperature compensation.  The item is proposed developing to allow for discussion and submittal of supporting cost analysis and impact to consumers and businesses that supports a requirement to sell LPG through these small meters as temperature compensated (or by weight)</w:t>
      </w:r>
      <w:r w:rsidRPr="00281428">
        <w:t>.</w:t>
      </w:r>
    </w:p>
    <w:p w14:paraId="18817D41" w14:textId="77777777" w:rsidR="003B1A9B" w:rsidRPr="00281428" w:rsidRDefault="003B1A9B" w:rsidP="003B1A9B">
      <w:pPr>
        <w:rPr>
          <w:szCs w:val="20"/>
        </w:rPr>
      </w:pPr>
      <w:r w:rsidRPr="00281428">
        <w:rPr>
          <w:szCs w:val="20"/>
        </w:rPr>
        <w:t xml:space="preserve">The submitter noted that the sale of propane that is not temperature compensated can vary in quantities dispensed, which may provide a business or consumer with </w:t>
      </w:r>
      <w:proofErr w:type="gramStart"/>
      <w:r w:rsidRPr="00281428">
        <w:rPr>
          <w:szCs w:val="20"/>
        </w:rPr>
        <w:t>more or less product</w:t>
      </w:r>
      <w:proofErr w:type="gramEnd"/>
      <w:r w:rsidRPr="00281428">
        <w:rPr>
          <w:szCs w:val="20"/>
        </w:rPr>
        <w:t xml:space="preserve"> than stated.</w:t>
      </w:r>
    </w:p>
    <w:p w14:paraId="3AAEF656" w14:textId="28B1CBA6" w:rsidR="003B1A9B" w:rsidRPr="00281428" w:rsidRDefault="003B1A9B" w:rsidP="003B1A9B">
      <w:r w:rsidRPr="00A06034">
        <w:rPr>
          <w:u w:val="single"/>
        </w:rPr>
        <w:t xml:space="preserve">NCWM </w:t>
      </w:r>
      <w:r w:rsidR="00557607">
        <w:rPr>
          <w:u w:val="single"/>
        </w:rPr>
        <w:t xml:space="preserve">2020 </w:t>
      </w:r>
      <w:r w:rsidRPr="00A06034">
        <w:rPr>
          <w:u w:val="single"/>
        </w:rPr>
        <w:t>Interim Meeting</w:t>
      </w:r>
      <w:r w:rsidR="00A06034" w:rsidRPr="00A06034">
        <w:rPr>
          <w:u w:val="single"/>
        </w:rPr>
        <w:t>:</w:t>
      </w:r>
      <w:r w:rsidRPr="00281428">
        <w:t xml:space="preserve"> Mr. Tim Chesser (</w:t>
      </w:r>
      <w:r w:rsidR="00C726C7">
        <w:t>AR</w:t>
      </w:r>
      <w:r w:rsidRPr="00281428">
        <w:t>) felt that the current proposal conflicts with language in Handbook 44.  Ms. Tina Butcher (NIST OWM) responded the current language in Handbook 44 does not conflict with the language in this item, referencing language from Handbook 44 stating “If a device is equipped with an automatic temperature compensator</w:t>
      </w:r>
      <w:r w:rsidR="00E828DF">
        <w:t>.</w:t>
      </w:r>
      <w:r w:rsidRPr="00281428">
        <w:t xml:space="preserve">” </w:t>
      </w:r>
      <w:r w:rsidR="00E828DF">
        <w:t xml:space="preserve"> </w:t>
      </w:r>
      <w:r w:rsidRPr="00281428">
        <w:t>This suggests that language in Handbook 44 does not require modification to accommodate devices with automatic temperature compensation capabilities.  Mr. Constantine Cotsoradis (Flint Hill Resources) questioned if this proposal would have any benefit for consumers.  Representing the submitter, Mr. Vince Wolpert (</w:t>
      </w:r>
      <w:r w:rsidR="00E828DF">
        <w:t>AZ</w:t>
      </w:r>
      <w:r w:rsidRPr="00281428">
        <w:t xml:space="preserve">) stated that temperature in the state ranges from 32 to 100 degrees Fahrenheit and volume delivered for LP sales varies accordingly.  As a result of the lack of consistency with volume delivered the state receives a lot of complaints concerning LP sales.  Several regulators commented that the most equitable way to address the issue is to require automatic temperature compensation for all sales.  The submitter received feedback from the fall regions and modified the language (dated January 24, 2020).  The submitter, Ms. Wilson recommends that this modified language be vetted through the regional meetings and industry for consideration.  Currently, the Committee concurs with this recommendation and moves this item forward as the Item </w:t>
      </w:r>
      <w:r w:rsidR="006B6170">
        <w:t>U</w:t>
      </w:r>
      <w:r w:rsidRPr="00281428">
        <w:t>nder Consideration as Informational.</w:t>
      </w:r>
    </w:p>
    <w:p w14:paraId="652D2545" w14:textId="77777777" w:rsidR="003B1A9B" w:rsidRPr="00281428" w:rsidRDefault="003B1A9B" w:rsidP="003B1A9B">
      <w:pPr>
        <w:rPr>
          <w:szCs w:val="20"/>
        </w:rPr>
      </w:pPr>
      <w:r w:rsidRPr="00281428">
        <w:rPr>
          <w:szCs w:val="20"/>
        </w:rPr>
        <w:t>On the 2020 NCWM Interim Agenda the item under consideration appeared as:</w:t>
      </w:r>
    </w:p>
    <w:p w14:paraId="0FFBB4B7" w14:textId="77777777" w:rsidR="003B1A9B" w:rsidRPr="00281428" w:rsidRDefault="003B1A9B" w:rsidP="003B1A9B">
      <w:pPr>
        <w:spacing w:after="60"/>
        <w:rPr>
          <w:szCs w:val="20"/>
          <w:u w:val="single"/>
        </w:rPr>
      </w:pPr>
      <w:r w:rsidRPr="00281428">
        <w:rPr>
          <w:b/>
          <w:bCs/>
          <w:szCs w:val="20"/>
        </w:rPr>
        <w:t>2.21. Liquefied Petroleum Gas.</w:t>
      </w:r>
      <w:r w:rsidRPr="00281428">
        <w:rPr>
          <w:szCs w:val="20"/>
        </w:rPr>
        <w:t xml:space="preserve"> – All liquefied petroleum gas, including, but not limited to propane, butane, and mixtures thereof, shall be kept, offered, exposed for sale, or sold by the pound, metered cubic foot [</w:t>
      </w:r>
      <w:r w:rsidRPr="00281428">
        <w:rPr>
          <w:b/>
          <w:i/>
          <w:szCs w:val="20"/>
          <w:vertAlign w:val="superscript"/>
        </w:rPr>
        <w:t>NOTE 7</w:t>
      </w:r>
      <w:r w:rsidRPr="00281428">
        <w:rPr>
          <w:szCs w:val="20"/>
          <w:vertAlign w:val="superscript"/>
        </w:rPr>
        <w:t>, page 132</w:t>
      </w:r>
      <w:r w:rsidRPr="00281428">
        <w:rPr>
          <w:szCs w:val="20"/>
        </w:rPr>
        <w:t>] of vapor (defined as 1 ft3 at 60 °F [15.6 °C]), or the gallon (defined as 231 in3 at 60 °F [15.6 °C]). All metered sales by the gallon, except those using meters with a maximum rated capacity of 20 gal/min or less, shall be accomplished by use of a meter and device that automatically compensates for temperature</w:t>
      </w:r>
      <w:r w:rsidRPr="00281428">
        <w:rPr>
          <w:bCs/>
          <w:szCs w:val="20"/>
        </w:rPr>
        <w:t xml:space="preserve">.  </w:t>
      </w:r>
      <w:r w:rsidRPr="00281428">
        <w:rPr>
          <w:b/>
          <w:bCs/>
          <w:szCs w:val="20"/>
          <w:u w:val="single"/>
        </w:rPr>
        <w:t>Metered sales using a meter with a maximum rated capacity of 20 gal/min or less is exempt from temperature compensation requirements.</w:t>
      </w:r>
      <w:r w:rsidRPr="00281428">
        <w:rPr>
          <w:szCs w:val="20"/>
          <w:u w:val="single"/>
        </w:rPr>
        <w:t xml:space="preserve"> </w:t>
      </w:r>
    </w:p>
    <w:p w14:paraId="4650927E" w14:textId="3F70C96B" w:rsidR="003B1A9B" w:rsidRPr="00281428" w:rsidRDefault="003B1A9B" w:rsidP="003B1A9B">
      <w:pPr>
        <w:rPr>
          <w:b/>
          <w:szCs w:val="20"/>
          <w:u w:val="single"/>
        </w:rPr>
      </w:pPr>
      <w:r w:rsidRPr="00281428">
        <w:rPr>
          <w:szCs w:val="20"/>
        </w:rPr>
        <w:t xml:space="preserve">(Added 1986 </w:t>
      </w:r>
      <w:r w:rsidRPr="00281428">
        <w:rPr>
          <w:b/>
          <w:bCs/>
          <w:szCs w:val="20"/>
          <w:u w:val="single"/>
        </w:rPr>
        <w:t>Amended 20XX</w:t>
      </w:r>
      <w:r w:rsidRPr="00281428">
        <w:rPr>
          <w:b/>
          <w:szCs w:val="20"/>
          <w:u w:val="single"/>
        </w:rPr>
        <w:t>)</w:t>
      </w:r>
    </w:p>
    <w:p w14:paraId="2501E467" w14:textId="50F1101C" w:rsidR="00A25324" w:rsidRPr="00281428" w:rsidRDefault="00C31EDF" w:rsidP="00CD31EC">
      <w:pPr>
        <w:rPr>
          <w:bCs/>
          <w:szCs w:val="20"/>
        </w:rPr>
      </w:pPr>
      <w:r w:rsidRPr="00A06034">
        <w:rPr>
          <w:bCs/>
          <w:szCs w:val="20"/>
          <w:u w:val="single"/>
        </w:rPr>
        <w:t>NCWM</w:t>
      </w:r>
      <w:r w:rsidR="00A25324" w:rsidRPr="00A06034">
        <w:rPr>
          <w:bCs/>
          <w:szCs w:val="20"/>
          <w:u w:val="single"/>
        </w:rPr>
        <w:t xml:space="preserve"> </w:t>
      </w:r>
      <w:r w:rsidR="00557607">
        <w:rPr>
          <w:bCs/>
          <w:szCs w:val="20"/>
          <w:u w:val="single"/>
        </w:rPr>
        <w:t xml:space="preserve">2021 </w:t>
      </w:r>
      <w:r w:rsidR="00A25324" w:rsidRPr="00A06034">
        <w:rPr>
          <w:bCs/>
          <w:szCs w:val="20"/>
          <w:u w:val="single"/>
        </w:rPr>
        <w:t>Interim</w:t>
      </w:r>
      <w:r w:rsidR="00A06034" w:rsidRPr="00A06034">
        <w:rPr>
          <w:bCs/>
          <w:szCs w:val="20"/>
          <w:u w:val="single"/>
        </w:rPr>
        <w:t xml:space="preserve"> Meeting:</w:t>
      </w:r>
      <w:r w:rsidR="00A06034">
        <w:rPr>
          <w:bCs/>
          <w:szCs w:val="20"/>
        </w:rPr>
        <w:t xml:space="preserve">  </w:t>
      </w:r>
      <w:r w:rsidRPr="00281428">
        <w:rPr>
          <w:bCs/>
          <w:szCs w:val="20"/>
        </w:rPr>
        <w:t>Mr. Tim Chesser (</w:t>
      </w:r>
      <w:r w:rsidR="00152550">
        <w:rPr>
          <w:bCs/>
          <w:szCs w:val="20"/>
        </w:rPr>
        <w:t>AR</w:t>
      </w:r>
      <w:r w:rsidRPr="00281428">
        <w:rPr>
          <w:bCs/>
          <w:szCs w:val="20"/>
        </w:rPr>
        <w:t xml:space="preserve">) </w:t>
      </w:r>
      <w:r w:rsidR="00A06034">
        <w:rPr>
          <w:bCs/>
          <w:szCs w:val="20"/>
        </w:rPr>
        <w:t xml:space="preserve">commented </w:t>
      </w:r>
      <w:r w:rsidRPr="00281428">
        <w:rPr>
          <w:bCs/>
          <w:szCs w:val="20"/>
        </w:rPr>
        <w:t>regarding his concern with conflicts between the method of sale and H</w:t>
      </w:r>
      <w:r w:rsidR="00725E7A">
        <w:rPr>
          <w:bCs/>
          <w:szCs w:val="20"/>
        </w:rPr>
        <w:t xml:space="preserve">andbook </w:t>
      </w:r>
      <w:r w:rsidRPr="00281428">
        <w:rPr>
          <w:bCs/>
          <w:szCs w:val="20"/>
        </w:rPr>
        <w:t xml:space="preserve">44 requirements.  </w:t>
      </w:r>
    </w:p>
    <w:p w14:paraId="53686709" w14:textId="12147123" w:rsidR="00A25324" w:rsidRPr="00281428" w:rsidRDefault="00A25324" w:rsidP="00A25324">
      <w:pPr>
        <w:rPr>
          <w:bCs/>
          <w:szCs w:val="20"/>
        </w:rPr>
      </w:pPr>
      <w:r w:rsidRPr="00281428">
        <w:rPr>
          <w:bCs/>
          <w:szCs w:val="20"/>
        </w:rPr>
        <w:t xml:space="preserve">At the 2021 NCWM Interim Meeting the language within NCWM Publication </w:t>
      </w:r>
      <w:r w:rsidR="008C1211">
        <w:rPr>
          <w:bCs/>
          <w:szCs w:val="20"/>
        </w:rPr>
        <w:t xml:space="preserve">15 </w:t>
      </w:r>
      <w:r w:rsidRPr="00281428">
        <w:rPr>
          <w:bCs/>
          <w:szCs w:val="20"/>
        </w:rPr>
        <w:t>appeared as:</w:t>
      </w:r>
    </w:p>
    <w:p w14:paraId="6745A30D" w14:textId="77777777" w:rsidR="00A25324" w:rsidRPr="00281428" w:rsidRDefault="00A25324" w:rsidP="00A25324">
      <w:pPr>
        <w:rPr>
          <w:bCs/>
          <w:szCs w:val="20"/>
        </w:rPr>
      </w:pPr>
      <w:r w:rsidRPr="00281428">
        <w:rPr>
          <w:b/>
          <w:bCs/>
          <w:szCs w:val="20"/>
        </w:rPr>
        <w:t>2.21. Liquefied Petroleum Gas.</w:t>
      </w:r>
      <w:r w:rsidRPr="00281428">
        <w:rPr>
          <w:szCs w:val="20"/>
        </w:rPr>
        <w:t xml:space="preserve"> – All liquefied petroleum gas, including, but not limited to propane, butane, and mixtures thereof, shall be kept, offered, exposed for sale, or sold by the pound, metered cubic foot </w:t>
      </w:r>
      <w:r w:rsidRPr="00281428">
        <w:rPr>
          <w:szCs w:val="20"/>
          <w:vertAlign w:val="superscript"/>
        </w:rPr>
        <w:t>[</w:t>
      </w:r>
      <w:r w:rsidRPr="00281428">
        <w:rPr>
          <w:b/>
          <w:i/>
          <w:szCs w:val="20"/>
          <w:vertAlign w:val="superscript"/>
        </w:rPr>
        <w:t>NOTE 7</w:t>
      </w:r>
      <w:r w:rsidRPr="00281428">
        <w:rPr>
          <w:szCs w:val="20"/>
          <w:vertAlign w:val="superscript"/>
        </w:rPr>
        <w:t>, page 132]</w:t>
      </w:r>
      <w:r w:rsidRPr="00281428">
        <w:rPr>
          <w:szCs w:val="20"/>
        </w:rPr>
        <w:t xml:space="preserve"> of vapor (defined as 1 ft</w:t>
      </w:r>
      <w:r w:rsidRPr="00281428">
        <w:rPr>
          <w:szCs w:val="20"/>
          <w:vertAlign w:val="superscript"/>
        </w:rPr>
        <w:t>3</w:t>
      </w:r>
      <w:r w:rsidRPr="00281428">
        <w:rPr>
          <w:szCs w:val="20"/>
        </w:rPr>
        <w:t xml:space="preserve"> at 60 °F [15.6 °C]), or the gallon (defined as 231 in</w:t>
      </w:r>
      <w:r w:rsidRPr="00281428">
        <w:rPr>
          <w:szCs w:val="20"/>
          <w:vertAlign w:val="superscript"/>
        </w:rPr>
        <w:t>3</w:t>
      </w:r>
      <w:r w:rsidRPr="00281428">
        <w:rPr>
          <w:szCs w:val="20"/>
        </w:rPr>
        <w:t xml:space="preserve"> at 60 °F [15.6 °C]). </w:t>
      </w:r>
      <w:r w:rsidRPr="00281428">
        <w:rPr>
          <w:b/>
          <w:bCs/>
          <w:strike/>
          <w:szCs w:val="20"/>
        </w:rPr>
        <w:t>All metered sales by the gallon, except those using meters with a maximum rated capacity of 20 gal/min or less, shall be accomplished by use of a meter and device that automatically compensates for temperature.</w:t>
      </w:r>
      <w:r w:rsidRPr="00281428">
        <w:rPr>
          <w:bCs/>
          <w:szCs w:val="20"/>
        </w:rPr>
        <w:t xml:space="preserve">  </w:t>
      </w:r>
    </w:p>
    <w:p w14:paraId="758D214E" w14:textId="77777777" w:rsidR="00A25324" w:rsidRPr="00281428" w:rsidRDefault="00A25324" w:rsidP="00A25324">
      <w:pPr>
        <w:pStyle w:val="ListParagraph"/>
        <w:numPr>
          <w:ilvl w:val="0"/>
          <w:numId w:val="41"/>
        </w:numPr>
        <w:rPr>
          <w:szCs w:val="20"/>
          <w:u w:val="single"/>
        </w:rPr>
      </w:pPr>
      <w:r w:rsidRPr="00281428">
        <w:rPr>
          <w:b/>
          <w:bCs/>
          <w:szCs w:val="20"/>
          <w:u w:val="single"/>
        </w:rPr>
        <w:lastRenderedPageBreak/>
        <w:t xml:space="preserve">All metered sales by the gallon using a meter with a maximum rated capacity greater than 20 gal/min, shall be accomplished </w:t>
      </w:r>
      <w:proofErr w:type="gramStart"/>
      <w:r w:rsidRPr="00281428">
        <w:rPr>
          <w:b/>
          <w:bCs/>
          <w:szCs w:val="20"/>
          <w:u w:val="single"/>
        </w:rPr>
        <w:t>by the use of</w:t>
      </w:r>
      <w:proofErr w:type="gramEnd"/>
      <w:r w:rsidRPr="00281428">
        <w:rPr>
          <w:b/>
          <w:bCs/>
          <w:szCs w:val="20"/>
          <w:u w:val="single"/>
        </w:rPr>
        <w:t xml:space="preserve"> a meter and device that automatically compensates for temperature.</w:t>
      </w:r>
      <w:r w:rsidRPr="00281428">
        <w:rPr>
          <w:szCs w:val="20"/>
          <w:u w:val="single"/>
        </w:rPr>
        <w:t xml:space="preserve"> </w:t>
      </w:r>
    </w:p>
    <w:p w14:paraId="4243A9A4" w14:textId="77777777" w:rsidR="00A25324" w:rsidRPr="00281428" w:rsidRDefault="00A25324" w:rsidP="00A25324">
      <w:pPr>
        <w:pStyle w:val="ListParagraph"/>
        <w:numPr>
          <w:ilvl w:val="0"/>
          <w:numId w:val="41"/>
        </w:numPr>
        <w:rPr>
          <w:szCs w:val="20"/>
          <w:u w:val="single"/>
        </w:rPr>
      </w:pPr>
      <w:r w:rsidRPr="00281428">
        <w:rPr>
          <w:b/>
          <w:bCs/>
          <w:szCs w:val="20"/>
          <w:u w:val="single"/>
        </w:rPr>
        <w:t>For equipment placed in service on or after January 1, 2023, all metered sales using a meter with a maximum rated capacity of 20 gal/min or less shall be accomplished by use of a meter and device that automatically compensates for temperature.</w:t>
      </w:r>
    </w:p>
    <w:p w14:paraId="38CFDF9B" w14:textId="77777777" w:rsidR="00A25324" w:rsidRPr="00281428" w:rsidRDefault="00A25324" w:rsidP="00A25324">
      <w:pPr>
        <w:pStyle w:val="ListParagraph"/>
        <w:numPr>
          <w:ilvl w:val="0"/>
          <w:numId w:val="41"/>
        </w:numPr>
        <w:spacing w:after="60"/>
        <w:rPr>
          <w:szCs w:val="20"/>
          <w:u w:val="single"/>
        </w:rPr>
      </w:pPr>
      <w:r w:rsidRPr="00281428">
        <w:rPr>
          <w:b/>
          <w:bCs/>
          <w:szCs w:val="20"/>
          <w:u w:val="single"/>
        </w:rPr>
        <w:t>Effective January 1, 2030, all metered sales shall be accomplished by use of a meter and device that automatically compensates for temperature.</w:t>
      </w:r>
    </w:p>
    <w:p w14:paraId="19C20DC9" w14:textId="77777777" w:rsidR="00A25324" w:rsidRPr="00281428" w:rsidRDefault="00A25324" w:rsidP="00A25324">
      <w:pPr>
        <w:rPr>
          <w:b/>
          <w:szCs w:val="20"/>
          <w:u w:val="single"/>
        </w:rPr>
      </w:pPr>
      <w:r w:rsidRPr="00281428">
        <w:rPr>
          <w:szCs w:val="20"/>
        </w:rPr>
        <w:t xml:space="preserve">(Added 1986 </w:t>
      </w:r>
      <w:r w:rsidRPr="00281428">
        <w:rPr>
          <w:b/>
          <w:bCs/>
          <w:szCs w:val="20"/>
          <w:u w:val="single"/>
        </w:rPr>
        <w:t>Amended 20XX</w:t>
      </w:r>
      <w:r w:rsidRPr="00281428">
        <w:rPr>
          <w:b/>
          <w:szCs w:val="20"/>
          <w:u w:val="single"/>
        </w:rPr>
        <w:t>)</w:t>
      </w:r>
    </w:p>
    <w:p w14:paraId="6E82D08C" w14:textId="25941B26" w:rsidR="00C31EDF" w:rsidRPr="00281428" w:rsidRDefault="00C31EDF" w:rsidP="00CD31EC">
      <w:pPr>
        <w:rPr>
          <w:bCs/>
          <w:szCs w:val="20"/>
        </w:rPr>
      </w:pPr>
      <w:r w:rsidRPr="00281428">
        <w:rPr>
          <w:bCs/>
          <w:szCs w:val="20"/>
        </w:rPr>
        <w:t xml:space="preserve">Ms. Tina Butcher (NIST OWM) addressed questions that were stated within the reporting for this </w:t>
      </w:r>
      <w:r w:rsidR="00152550">
        <w:rPr>
          <w:bCs/>
          <w:szCs w:val="20"/>
        </w:rPr>
        <w:t>i</w:t>
      </w:r>
      <w:r w:rsidRPr="00281428">
        <w:rPr>
          <w:bCs/>
          <w:szCs w:val="20"/>
        </w:rPr>
        <w:t xml:space="preserve">tem.   </w:t>
      </w:r>
      <w:r w:rsidR="00152550">
        <w:rPr>
          <w:bCs/>
          <w:szCs w:val="20"/>
        </w:rPr>
        <w:t>Ms. Butcher</w:t>
      </w:r>
      <w:r w:rsidRPr="00281428">
        <w:rPr>
          <w:bCs/>
          <w:szCs w:val="20"/>
        </w:rPr>
        <w:t xml:space="preserve"> also provided an in-depth background and discussion on this item.  It was noted that NIST OWM submitted modified language that was posted under the NCWM L&amp;R supporting documents.</w:t>
      </w:r>
    </w:p>
    <w:p w14:paraId="59B0B2CC" w14:textId="42A4A841" w:rsidR="00C31EDF" w:rsidRPr="00281428" w:rsidRDefault="00C31EDF" w:rsidP="00CD31EC">
      <w:pPr>
        <w:rPr>
          <w:bCs/>
          <w:szCs w:val="20"/>
        </w:rPr>
      </w:pPr>
      <w:r w:rsidRPr="00281428">
        <w:rPr>
          <w:bCs/>
          <w:szCs w:val="20"/>
        </w:rPr>
        <w:t>Some of the bullet points that were in the NIST analysis of this item were:</w:t>
      </w:r>
    </w:p>
    <w:p w14:paraId="5CB3A04A" w14:textId="1333F3B2" w:rsidR="00C31EDF" w:rsidRPr="00281428" w:rsidRDefault="00C31EDF" w:rsidP="00FF4509">
      <w:pPr>
        <w:numPr>
          <w:ilvl w:val="0"/>
          <w:numId w:val="67"/>
        </w:numPr>
        <w:outlineLvl w:val="1"/>
        <w:rPr>
          <w:color w:val="000000"/>
          <w:szCs w:val="20"/>
        </w:rPr>
      </w:pPr>
      <w:r w:rsidRPr="00281428">
        <w:rPr>
          <w:color w:val="000000"/>
          <w:szCs w:val="20"/>
        </w:rPr>
        <w:t>The existing language references a value of “15.6 °C” for temperature determinations in metric units, according to the current industry practice for sales of petroleum products, the reference temperature for sales in metric are based on 15 °C rather than the exact conversion from 60 °F (which is 15.6 °C).  Thus, the temperature reference in metric should be 15 °C.</w:t>
      </w:r>
    </w:p>
    <w:p w14:paraId="45F6E2A3" w14:textId="77777777" w:rsidR="00C31EDF" w:rsidRPr="00281428" w:rsidRDefault="00C31EDF" w:rsidP="00FF4509">
      <w:pPr>
        <w:numPr>
          <w:ilvl w:val="0"/>
          <w:numId w:val="67"/>
        </w:numPr>
        <w:outlineLvl w:val="1"/>
        <w:rPr>
          <w:color w:val="000000"/>
          <w:szCs w:val="20"/>
        </w:rPr>
      </w:pPr>
      <w:r w:rsidRPr="00281428">
        <w:rPr>
          <w:color w:val="000000"/>
          <w:szCs w:val="20"/>
        </w:rPr>
        <w:t>The current method of sale for LPG requires sales based on a specified reference temperature because of the significant effects of temperature on the volume of LPG.  This helps ensure equity for buyer and seller; facilitate value comparisons among competing applications; and deter those who would take advantage of the effects of temperature on volume from using these effects to their advantage during sales under given temperature conditions.</w:t>
      </w:r>
    </w:p>
    <w:p w14:paraId="54590ACA" w14:textId="77777777" w:rsidR="00C31EDF" w:rsidRPr="00281428" w:rsidRDefault="00C31EDF" w:rsidP="00FF4509">
      <w:pPr>
        <w:numPr>
          <w:ilvl w:val="0"/>
          <w:numId w:val="67"/>
        </w:numPr>
        <w:outlineLvl w:val="1"/>
        <w:rPr>
          <w:color w:val="000000"/>
          <w:szCs w:val="20"/>
        </w:rPr>
      </w:pPr>
      <w:r w:rsidRPr="00281428">
        <w:rPr>
          <w:color w:val="000000"/>
          <w:szCs w:val="20"/>
        </w:rPr>
        <w:t>There is some concern that including effective dates as shown in the Item Under Consideration does have the effect of rescinding the original requirement for certain categories of sales.  Additionally, specifying such dates may possibly lead to future extensions of these date or permanent exceptions.  However, if this proposal will allow the community to progress toward more uniform implementation of temperature compensation in the commercial measurement of LPG, this approach may prove to be a valuable tool for accomplishing this goal and improve understanding and consistent application of the requirements, and we believe the submitter is to be commended for striving to achieve this clarity and uniformity in application.</w:t>
      </w:r>
    </w:p>
    <w:p w14:paraId="4C373E4B" w14:textId="50CF725C" w:rsidR="00C31EDF" w:rsidRPr="00281428" w:rsidRDefault="00C31EDF" w:rsidP="00FF4509">
      <w:pPr>
        <w:numPr>
          <w:ilvl w:val="0"/>
          <w:numId w:val="67"/>
        </w:numPr>
        <w:outlineLvl w:val="1"/>
        <w:rPr>
          <w:color w:val="000000"/>
          <w:szCs w:val="20"/>
        </w:rPr>
      </w:pPr>
      <w:r w:rsidRPr="00281428">
        <w:rPr>
          <w:color w:val="000000"/>
          <w:szCs w:val="20"/>
        </w:rPr>
        <w:t xml:space="preserve">The second clause of the current Item Under Consideration addresses equipment put into service as of January 1, 2023.  The generic reference to “equipment placed into service” implies that only newly installed equipment with flow rates of </w:t>
      </w:r>
      <w:r w:rsidR="00A249B8" w:rsidRPr="00281428">
        <w:rPr>
          <w:color w:val="000000"/>
          <w:szCs w:val="20"/>
        </w:rPr>
        <w:t>20 </w:t>
      </w:r>
      <w:r w:rsidRPr="00281428">
        <w:rPr>
          <w:color w:val="000000"/>
          <w:szCs w:val="20"/>
        </w:rPr>
        <w:t xml:space="preserve">gpm or less needs to include automatic temperature compensation capabilities.  This could be misconstrued as negating the first clause in the proposal.  We believe the intent of the submitter was to simply expand the requirement for “automatic” temperature compensation capability for metering systems above </w:t>
      </w:r>
      <w:r w:rsidR="00A249B8" w:rsidRPr="00281428">
        <w:rPr>
          <w:color w:val="000000"/>
          <w:szCs w:val="20"/>
        </w:rPr>
        <w:t>20 </w:t>
      </w:r>
      <w:r w:rsidRPr="00281428">
        <w:rPr>
          <w:color w:val="000000"/>
          <w:szCs w:val="20"/>
        </w:rPr>
        <w:t>gpm to include those systems below this flow rate point.  Thus, a recommended alternative is included in the suggested changes.</w:t>
      </w:r>
    </w:p>
    <w:p w14:paraId="7E5D9FC7" w14:textId="6A5269B3" w:rsidR="00C31EDF" w:rsidRPr="00281428" w:rsidRDefault="00C31EDF" w:rsidP="00F512E9">
      <w:pPr>
        <w:ind w:left="360"/>
        <w:outlineLvl w:val="1"/>
        <w:rPr>
          <w:color w:val="000000"/>
          <w:szCs w:val="20"/>
        </w:rPr>
      </w:pPr>
      <w:r w:rsidRPr="00281428">
        <w:rPr>
          <w:color w:val="000000"/>
          <w:szCs w:val="20"/>
        </w:rPr>
        <w:t xml:space="preserve">Formatting Changes: </w:t>
      </w:r>
    </w:p>
    <w:p w14:paraId="68C7A202" w14:textId="724AAF27" w:rsidR="00C31EDF" w:rsidRPr="00281428" w:rsidRDefault="00C31EDF" w:rsidP="00FF4509">
      <w:pPr>
        <w:numPr>
          <w:ilvl w:val="0"/>
          <w:numId w:val="68"/>
        </w:numPr>
        <w:ind w:left="1080"/>
        <w:outlineLvl w:val="1"/>
        <w:rPr>
          <w:color w:val="000000"/>
          <w:szCs w:val="20"/>
          <w:u w:color="82C42A"/>
        </w:rPr>
      </w:pPr>
      <w:r w:rsidRPr="00281428">
        <w:rPr>
          <w:color w:val="000000"/>
          <w:szCs w:val="20"/>
          <w:u w:color="82C42A"/>
        </w:rPr>
        <w:t xml:space="preserve">By formatting the language into sub-sections, it makes the </w:t>
      </w:r>
      <w:r w:rsidR="00E33621" w:rsidRPr="00281428">
        <w:rPr>
          <w:color w:val="000000"/>
          <w:szCs w:val="20"/>
          <w:u w:color="82C42A"/>
        </w:rPr>
        <w:t>method of sale</w:t>
      </w:r>
      <w:r w:rsidRPr="00281428">
        <w:rPr>
          <w:color w:val="000000"/>
          <w:szCs w:val="20"/>
          <w:u w:color="82C42A"/>
        </w:rPr>
        <w:t xml:space="preserve"> requirement easier to follow and apply and facilitates consideration of the Item Under Consideration. </w:t>
      </w:r>
    </w:p>
    <w:p w14:paraId="404D2096" w14:textId="615B2390" w:rsidR="00C31EDF" w:rsidRPr="00281428" w:rsidRDefault="00C31EDF" w:rsidP="00C31EDF">
      <w:pPr>
        <w:numPr>
          <w:ilvl w:val="0"/>
          <w:numId w:val="68"/>
        </w:numPr>
        <w:ind w:left="1080"/>
        <w:outlineLvl w:val="1"/>
        <w:rPr>
          <w:rFonts w:ascii="Calibri" w:hAnsi="Calibri" w:cs="Calibri"/>
          <w:color w:val="000000"/>
          <w:szCs w:val="20"/>
          <w:u w:color="82C42A"/>
        </w:rPr>
      </w:pPr>
      <w:r w:rsidRPr="00281428">
        <w:rPr>
          <w:color w:val="000000"/>
          <w:szCs w:val="20"/>
          <w:u w:color="82C42A"/>
        </w:rPr>
        <w:t>For the next released edition of Handbook 130, NIST OWM will be reformatting the references to “Notes” and their associated page numbers and replacing these with notes formatted as “Section ##. Note.”</w:t>
      </w:r>
    </w:p>
    <w:p w14:paraId="6D092E01" w14:textId="6844E06E" w:rsidR="00657F94" w:rsidRPr="00281428" w:rsidRDefault="002D0436" w:rsidP="00FF4509">
      <w:pPr>
        <w:outlineLvl w:val="1"/>
        <w:rPr>
          <w:color w:val="000000"/>
          <w:szCs w:val="20"/>
          <w:u w:color="82C42A"/>
        </w:rPr>
      </w:pPr>
      <w:r w:rsidRPr="00281428">
        <w:rPr>
          <w:color w:val="000000"/>
          <w:szCs w:val="20"/>
          <w:u w:color="82C42A"/>
        </w:rPr>
        <w:lastRenderedPageBreak/>
        <w:t xml:space="preserve">Mr. </w:t>
      </w:r>
      <w:r w:rsidR="00C31EDF" w:rsidRPr="00281428">
        <w:rPr>
          <w:color w:val="000000"/>
          <w:szCs w:val="20"/>
          <w:u w:color="82C42A"/>
        </w:rPr>
        <w:t>Scott Simmons (</w:t>
      </w:r>
      <w:r w:rsidR="005B39BB">
        <w:rPr>
          <w:color w:val="000000"/>
          <w:szCs w:val="20"/>
          <w:u w:color="82C42A"/>
        </w:rPr>
        <w:t>CO</w:t>
      </w:r>
      <w:r w:rsidR="00C31EDF" w:rsidRPr="00281428">
        <w:rPr>
          <w:color w:val="000000"/>
          <w:szCs w:val="20"/>
          <w:u w:color="82C42A"/>
        </w:rPr>
        <w:t xml:space="preserve">) </w:t>
      </w:r>
      <w:r w:rsidR="00013593" w:rsidRPr="00281428">
        <w:rPr>
          <w:color w:val="000000"/>
          <w:szCs w:val="20"/>
          <w:u w:color="82C42A"/>
        </w:rPr>
        <w:t xml:space="preserve">lead a discussion regarding </w:t>
      </w:r>
      <w:r w:rsidR="00C31EDF" w:rsidRPr="00281428">
        <w:rPr>
          <w:color w:val="000000"/>
          <w:szCs w:val="20"/>
          <w:u w:color="82C42A"/>
        </w:rPr>
        <w:t xml:space="preserve">some of the issues that his state has faced regarding LPG sales.  </w:t>
      </w:r>
      <w:r w:rsidR="005B39BB">
        <w:rPr>
          <w:color w:val="000000"/>
          <w:szCs w:val="20"/>
          <w:u w:color="82C42A"/>
        </w:rPr>
        <w:t>Mr. Simmons</w:t>
      </w:r>
      <w:r w:rsidR="00C31EDF" w:rsidRPr="00281428">
        <w:rPr>
          <w:color w:val="000000"/>
          <w:szCs w:val="20"/>
          <w:u w:color="82C42A"/>
        </w:rPr>
        <w:t xml:space="preserve"> and many other regulators expressed support for this Item.   </w:t>
      </w:r>
      <w:r w:rsidR="00013593" w:rsidRPr="00281428">
        <w:rPr>
          <w:color w:val="000000"/>
          <w:szCs w:val="20"/>
          <w:u w:color="82C42A"/>
        </w:rPr>
        <w:t xml:space="preserve">It was expressed that many were unaware of the NIST modified proposal.  </w:t>
      </w:r>
      <w:r w:rsidR="005B39BB">
        <w:rPr>
          <w:color w:val="000000"/>
          <w:szCs w:val="20"/>
          <w:u w:color="82C42A"/>
        </w:rPr>
        <w:t>L</w:t>
      </w:r>
      <w:r w:rsidR="0078643C">
        <w:rPr>
          <w:color w:val="000000"/>
          <w:szCs w:val="20"/>
          <w:u w:color="82C42A"/>
        </w:rPr>
        <w:t>&amp;R Committee Chair, Mr. John</w:t>
      </w:r>
      <w:r w:rsidR="00013593" w:rsidRPr="00281428">
        <w:rPr>
          <w:color w:val="000000"/>
          <w:szCs w:val="20"/>
          <w:u w:color="82C42A"/>
        </w:rPr>
        <w:t xml:space="preserve"> McGuire</w:t>
      </w:r>
      <w:r w:rsidR="0078643C">
        <w:rPr>
          <w:color w:val="000000"/>
          <w:szCs w:val="20"/>
          <w:u w:color="82C42A"/>
        </w:rPr>
        <w:t xml:space="preserve"> (NJ),</w:t>
      </w:r>
      <w:r w:rsidR="00013593" w:rsidRPr="00281428">
        <w:rPr>
          <w:color w:val="000000"/>
          <w:szCs w:val="20"/>
          <w:u w:color="82C42A"/>
        </w:rPr>
        <w:t xml:space="preserve"> encourage membership to review the NIST proposal.  </w:t>
      </w:r>
      <w:r w:rsidRPr="00281428">
        <w:rPr>
          <w:color w:val="000000"/>
          <w:szCs w:val="20"/>
          <w:u w:color="82C42A"/>
        </w:rPr>
        <w:t xml:space="preserve">During the Committee work session both the original item under consideration and the NIST modifications were discussed.  </w:t>
      </w:r>
      <w:r w:rsidR="00013593" w:rsidRPr="00281428">
        <w:rPr>
          <w:color w:val="000000"/>
          <w:szCs w:val="20"/>
          <w:u w:color="82C42A"/>
        </w:rPr>
        <w:t xml:space="preserve">A Committee member was concerned that industry may be unaware of this item on the agenda. </w:t>
      </w:r>
      <w:r w:rsidR="00725E7A">
        <w:rPr>
          <w:color w:val="000000"/>
          <w:szCs w:val="20"/>
          <w:u w:color="82C42A"/>
        </w:rPr>
        <w:t xml:space="preserve"> </w:t>
      </w:r>
      <w:r w:rsidR="00657F94" w:rsidRPr="00281428">
        <w:rPr>
          <w:color w:val="000000"/>
          <w:szCs w:val="20"/>
          <w:u w:color="82C42A"/>
        </w:rPr>
        <w:t xml:space="preserve">A Committee member was concerned that industry may be unaware of this item on the agenda. Several Committee members had industry contacts that they would contact.   The Committee heard comments that in support for the NIST proposal.  The Committee was appreciative that NIST had reformatted the structure to make the language easier to read.  The Committee recommends this move forward as a Voting item.  </w:t>
      </w:r>
    </w:p>
    <w:p w14:paraId="1C24B16F" w14:textId="77777777" w:rsidR="00511A28" w:rsidRPr="00281428" w:rsidRDefault="00511A28" w:rsidP="00511A28">
      <w:pPr>
        <w:keepNext/>
        <w:keepLines/>
        <w:spacing w:after="120"/>
        <w:rPr>
          <w:szCs w:val="20"/>
        </w:rPr>
      </w:pPr>
      <w:r w:rsidRPr="00281428">
        <w:rPr>
          <w:b/>
          <w:szCs w:val="20"/>
        </w:rPr>
        <w:t>Regional Association Comments:</w:t>
      </w:r>
    </w:p>
    <w:p w14:paraId="4A9F4807" w14:textId="77777777" w:rsidR="003B1A9B" w:rsidRPr="00281428" w:rsidRDefault="003B1A9B" w:rsidP="003B1A9B">
      <w:pPr>
        <w:rPr>
          <w:rFonts w:eastAsia="Times New Roman"/>
          <w:szCs w:val="24"/>
        </w:rPr>
      </w:pPr>
      <w:r w:rsidRPr="00281428">
        <w:rPr>
          <w:szCs w:val="20"/>
          <w:u w:val="single"/>
        </w:rPr>
        <w:t>WWMA 2019 Annual Meeting:</w:t>
      </w:r>
      <w:r w:rsidRPr="00281428">
        <w:rPr>
          <w:szCs w:val="20"/>
        </w:rPr>
        <w:t xml:space="preserve">  </w:t>
      </w:r>
      <w:r w:rsidRPr="00281428">
        <w:rPr>
          <w:rFonts w:eastAsia="Times New Roman"/>
          <w:szCs w:val="24"/>
        </w:rPr>
        <w:t>The Committee heard comments in support of addressing the underlying issue that resulted in this proposal.  Mr. Scott Simmons (CO) recommended an alternative proposal for consideration to require automatic temperature compensation (ATC) for all LPG meters.</w:t>
      </w:r>
    </w:p>
    <w:p w14:paraId="5B9AFEB8" w14:textId="77777777" w:rsidR="003B1A9B" w:rsidRPr="00281428" w:rsidRDefault="003B1A9B" w:rsidP="003B1A9B">
      <w:pPr>
        <w:ind w:left="158"/>
        <w:rPr>
          <w:rFonts w:eastAsia="Times New Roman"/>
          <w:szCs w:val="24"/>
        </w:rPr>
      </w:pPr>
      <w:r w:rsidRPr="00281428">
        <w:rPr>
          <w:rFonts w:eastAsia="Times New Roman"/>
          <w:szCs w:val="24"/>
        </w:rPr>
        <w:t xml:space="preserve">1.  A non-retroactive date for all new equipment to have ATC.   </w:t>
      </w:r>
    </w:p>
    <w:p w14:paraId="642AD24D" w14:textId="77777777" w:rsidR="003B1A9B" w:rsidRPr="00281428" w:rsidRDefault="003B1A9B" w:rsidP="003B1A9B">
      <w:pPr>
        <w:ind w:left="158"/>
        <w:rPr>
          <w:rFonts w:eastAsia="Times New Roman"/>
          <w:szCs w:val="24"/>
        </w:rPr>
      </w:pPr>
      <w:r w:rsidRPr="00281428">
        <w:rPr>
          <w:rFonts w:eastAsia="Times New Roman"/>
          <w:szCs w:val="24"/>
        </w:rPr>
        <w:t xml:space="preserve">2.  A retroactive date for all equipment to have an ATC retrofit or replacement. </w:t>
      </w:r>
    </w:p>
    <w:p w14:paraId="59D2BEAB" w14:textId="5DC84058" w:rsidR="003B1A9B" w:rsidRPr="00281428" w:rsidRDefault="003B1A9B" w:rsidP="003B1A9B">
      <w:pPr>
        <w:rPr>
          <w:rFonts w:eastAsia="Times New Roman"/>
          <w:szCs w:val="24"/>
        </w:rPr>
      </w:pPr>
      <w:r w:rsidRPr="00281428">
        <w:rPr>
          <w:rFonts w:eastAsia="Times New Roman"/>
          <w:szCs w:val="24"/>
        </w:rPr>
        <w:t>Mr. Clark Cooney (</w:t>
      </w:r>
      <w:r w:rsidR="00E4018D">
        <w:rPr>
          <w:rFonts w:eastAsia="Times New Roman"/>
          <w:szCs w:val="24"/>
        </w:rPr>
        <w:t>CA</w:t>
      </w:r>
      <w:r w:rsidRPr="00281428">
        <w:rPr>
          <w:rFonts w:eastAsia="Times New Roman"/>
          <w:szCs w:val="24"/>
        </w:rPr>
        <w:t xml:space="preserve">) commented that LPG has a very high thermal coefficient of expansion, therefore all LPG meters should be temperature compensated.  </w:t>
      </w:r>
    </w:p>
    <w:p w14:paraId="04E99924" w14:textId="77777777" w:rsidR="003B1A9B" w:rsidRPr="00281428" w:rsidRDefault="003B1A9B" w:rsidP="003B1A9B">
      <w:pPr>
        <w:rPr>
          <w:rFonts w:eastAsia="Times New Roman"/>
          <w:szCs w:val="24"/>
        </w:rPr>
      </w:pPr>
      <w:r w:rsidRPr="00281428">
        <w:rPr>
          <w:rFonts w:eastAsia="Times New Roman"/>
          <w:szCs w:val="24"/>
        </w:rPr>
        <w:t xml:space="preserve">The Committee believes this item under consideration is fully developed and recommends it as a Vote.   </w:t>
      </w:r>
    </w:p>
    <w:p w14:paraId="10A4A697" w14:textId="77777777" w:rsidR="003B1A9B" w:rsidRPr="00281428" w:rsidRDefault="003B1A9B" w:rsidP="003B1A9B">
      <w:pPr>
        <w:rPr>
          <w:szCs w:val="20"/>
          <w:u w:val="single"/>
        </w:rPr>
      </w:pPr>
      <w:r w:rsidRPr="00281428">
        <w:rPr>
          <w:color w:val="222222"/>
          <w:shd w:val="clear" w:color="auto" w:fill="FFFFFF"/>
        </w:rPr>
        <w:t>During the voting session, several comments were received that designation of this item as Voting provides an incorrect impression that the WWMA supports the item as written, without consideration of additional options for the sale of propane using meters that temperature compensate.  The submitter stated that while the item itself does not require further development; an alternate option will be developed to account for the comments received at the WWMA conference to be presented to other regional meetings.  The WWMA L&amp;R Committee agreed to change the status of the item from Voting to Developing.</w:t>
      </w:r>
    </w:p>
    <w:p w14:paraId="17979E4A" w14:textId="0FD4485B" w:rsidR="003B1A9B" w:rsidRPr="00281428" w:rsidRDefault="003B1A9B" w:rsidP="003B1A9B">
      <w:pPr>
        <w:rPr>
          <w:rFonts w:eastAsia="Times New Roman"/>
          <w:szCs w:val="24"/>
        </w:rPr>
      </w:pPr>
      <w:r w:rsidRPr="00281428">
        <w:rPr>
          <w:szCs w:val="20"/>
          <w:u w:val="single"/>
        </w:rPr>
        <w:t>SWMA 2019 Annual Meeting:</w:t>
      </w:r>
      <w:r w:rsidRPr="00281428">
        <w:rPr>
          <w:szCs w:val="20"/>
        </w:rPr>
        <w:t xml:space="preserve">  </w:t>
      </w:r>
      <w:r w:rsidRPr="00281428">
        <w:rPr>
          <w:rFonts w:eastAsia="Times New Roman"/>
          <w:szCs w:val="24"/>
        </w:rPr>
        <w:t>The SWMA considered the two proposals that were submitted by Ms. Michelle Wilson (</w:t>
      </w:r>
      <w:r w:rsidR="00E4018D">
        <w:rPr>
          <w:rFonts w:eastAsia="Times New Roman"/>
          <w:szCs w:val="24"/>
        </w:rPr>
        <w:t>AZ</w:t>
      </w:r>
      <w:r w:rsidRPr="00281428">
        <w:rPr>
          <w:rFonts w:eastAsia="Times New Roman"/>
          <w:szCs w:val="24"/>
        </w:rPr>
        <w:t>) on September 30, 2019.  The Committee took into consideration proposal number two.</w:t>
      </w:r>
    </w:p>
    <w:p w14:paraId="2EA02F89" w14:textId="77777777" w:rsidR="003B1A9B" w:rsidRPr="00281428" w:rsidRDefault="003B1A9B" w:rsidP="003B1A9B">
      <w:pPr>
        <w:ind w:left="360"/>
        <w:rPr>
          <w:b/>
          <w:szCs w:val="20"/>
        </w:rPr>
      </w:pPr>
      <w:r w:rsidRPr="00281428">
        <w:rPr>
          <w:b/>
          <w:szCs w:val="20"/>
        </w:rPr>
        <w:t>2.21.  Liquefied Petroleum Gas.</w:t>
      </w:r>
      <w:r w:rsidRPr="00281428">
        <w:rPr>
          <w:szCs w:val="20"/>
        </w:rPr>
        <w:t xml:space="preserve"> – All liquefied petroleum gas, including, but not limited to propane, butane, and mixtures thereof, shall be kept, offered, exposed for sale, or sold by the pound, metered cubic foot </w:t>
      </w:r>
      <w:r w:rsidRPr="00281428">
        <w:rPr>
          <w:szCs w:val="20"/>
          <w:vertAlign w:val="superscript"/>
        </w:rPr>
        <w:t>[</w:t>
      </w:r>
      <w:r w:rsidRPr="00281428">
        <w:rPr>
          <w:b/>
          <w:bCs/>
          <w:i/>
          <w:iCs/>
          <w:szCs w:val="20"/>
          <w:vertAlign w:val="superscript"/>
        </w:rPr>
        <w:t>NOTE 7</w:t>
      </w:r>
      <w:r w:rsidRPr="00281428">
        <w:rPr>
          <w:szCs w:val="20"/>
          <w:vertAlign w:val="superscript"/>
        </w:rPr>
        <w:t xml:space="preserve">, page 131] </w:t>
      </w:r>
      <w:r w:rsidRPr="00281428">
        <w:rPr>
          <w:szCs w:val="20"/>
        </w:rPr>
        <w:t>of vapor (defined as 1 ft</w:t>
      </w:r>
      <w:r w:rsidRPr="00281428">
        <w:rPr>
          <w:szCs w:val="20"/>
          <w:vertAlign w:val="superscript"/>
        </w:rPr>
        <w:t>3</w:t>
      </w:r>
      <w:r w:rsidRPr="00281428">
        <w:rPr>
          <w:szCs w:val="20"/>
        </w:rPr>
        <w:t xml:space="preserve"> at 60 °F [15.6 °C]), or the gallon (defined as 231 in</w:t>
      </w:r>
      <w:r w:rsidRPr="00281428">
        <w:rPr>
          <w:szCs w:val="20"/>
          <w:vertAlign w:val="superscript"/>
        </w:rPr>
        <w:t>3</w:t>
      </w:r>
      <w:r w:rsidRPr="00281428">
        <w:rPr>
          <w:szCs w:val="20"/>
        </w:rPr>
        <w:t xml:space="preserve"> at 60 °F [15.6 °C]). </w:t>
      </w:r>
      <w:r w:rsidRPr="00281428">
        <w:rPr>
          <w:b/>
          <w:strike/>
          <w:szCs w:val="20"/>
        </w:rPr>
        <w:t>All metered sales by the gallon, except those using meters with a maximum rated capacity of 20 gal/min or less, shall be accomplished by use of a meter and device that automatically compensates for temperature.</w:t>
      </w:r>
      <w:r w:rsidRPr="00281428">
        <w:rPr>
          <w:b/>
          <w:szCs w:val="20"/>
        </w:rPr>
        <w:t xml:space="preserve"> </w:t>
      </w:r>
    </w:p>
    <w:p w14:paraId="524C6C84" w14:textId="77777777" w:rsidR="003B1A9B" w:rsidRPr="00281428" w:rsidRDefault="003B1A9B" w:rsidP="00DA1FCD">
      <w:pPr>
        <w:numPr>
          <w:ilvl w:val="0"/>
          <w:numId w:val="42"/>
        </w:numPr>
        <w:ind w:left="1080"/>
        <w:rPr>
          <w:b/>
          <w:szCs w:val="20"/>
          <w:u w:val="single"/>
        </w:rPr>
      </w:pPr>
      <w:r w:rsidRPr="00281428">
        <w:rPr>
          <w:b/>
          <w:szCs w:val="20"/>
          <w:u w:val="single"/>
        </w:rPr>
        <w:t xml:space="preserve">All metered sales by the gallon using a meter with a maximum rated capacity greater than 20 gal/min, shall be accomplished by use of a meter and device that automatically compensates for temperature.  </w:t>
      </w:r>
    </w:p>
    <w:p w14:paraId="58EBE44F" w14:textId="77777777" w:rsidR="003B1A9B" w:rsidRPr="00281428" w:rsidRDefault="003B1A9B" w:rsidP="00DA1FCD">
      <w:pPr>
        <w:numPr>
          <w:ilvl w:val="0"/>
          <w:numId w:val="42"/>
        </w:numPr>
        <w:ind w:left="1080"/>
        <w:rPr>
          <w:szCs w:val="20"/>
          <w:u w:val="single"/>
        </w:rPr>
      </w:pPr>
      <w:r w:rsidRPr="00281428">
        <w:rPr>
          <w:b/>
          <w:szCs w:val="20"/>
          <w:u w:val="single"/>
        </w:rPr>
        <w:t>For equipment placed in service on or after January 1, 2023, all metered sales using a meter with a maximum rated capacity of 20 gal/min or less shall be accomplished by use of a meter and device that automatically compensates for temperature</w:t>
      </w:r>
      <w:r w:rsidRPr="00281428">
        <w:rPr>
          <w:szCs w:val="20"/>
          <w:u w:val="single"/>
        </w:rPr>
        <w:t xml:space="preserve">. </w:t>
      </w:r>
    </w:p>
    <w:p w14:paraId="6CA29B2A" w14:textId="77777777" w:rsidR="003B1A9B" w:rsidRPr="00281428" w:rsidRDefault="003B1A9B" w:rsidP="00DA1FCD">
      <w:pPr>
        <w:numPr>
          <w:ilvl w:val="0"/>
          <w:numId w:val="42"/>
        </w:numPr>
        <w:ind w:left="1080"/>
        <w:rPr>
          <w:b/>
          <w:szCs w:val="20"/>
        </w:rPr>
      </w:pPr>
      <w:r w:rsidRPr="00281428">
        <w:rPr>
          <w:b/>
          <w:szCs w:val="20"/>
          <w:u w:val="single"/>
        </w:rPr>
        <w:t>Effective January 1, 2030, all metered sales shall be accomplished by use of a meter and device that automatically compensates for temperature.</w:t>
      </w:r>
    </w:p>
    <w:p w14:paraId="35278CC0" w14:textId="0893DF13" w:rsidR="003B1A9B" w:rsidRPr="00281428" w:rsidRDefault="003B1A9B" w:rsidP="003B1A9B">
      <w:pPr>
        <w:rPr>
          <w:szCs w:val="20"/>
        </w:rPr>
      </w:pPr>
      <w:r w:rsidRPr="00281428">
        <w:rPr>
          <w:rFonts w:eastAsia="Times New Roman"/>
          <w:szCs w:val="24"/>
        </w:rPr>
        <w:t xml:space="preserve">North Carolina would like </w:t>
      </w:r>
      <w:r w:rsidR="00A13B4E" w:rsidRPr="00281428">
        <w:rPr>
          <w:rFonts w:eastAsia="Times New Roman"/>
          <w:szCs w:val="24"/>
        </w:rPr>
        <w:t xml:space="preserve">to have </w:t>
      </w:r>
      <w:r w:rsidRPr="00281428">
        <w:rPr>
          <w:rFonts w:eastAsia="Times New Roman"/>
          <w:szCs w:val="24"/>
        </w:rPr>
        <w:t xml:space="preserve">this item be withdrawn because they have a statue that addresses this </w:t>
      </w:r>
      <w:r w:rsidR="006E4799" w:rsidRPr="00281428">
        <w:rPr>
          <w:rFonts w:eastAsia="Times New Roman"/>
          <w:szCs w:val="24"/>
        </w:rPr>
        <w:t>item,</w:t>
      </w:r>
      <w:r w:rsidRPr="00281428">
        <w:rPr>
          <w:rFonts w:eastAsia="Times New Roman"/>
          <w:szCs w:val="24"/>
        </w:rPr>
        <w:t xml:space="preserve"> and they will continue with flat sales.  The Committee does like the proposal that is presented but believes there are too many variables in the method of sale and enforcement of this by the states.  They would like consideration what to do with </w:t>
      </w:r>
      <w:r w:rsidRPr="00281428">
        <w:rPr>
          <w:rFonts w:eastAsia="Times New Roman"/>
          <w:szCs w:val="24"/>
        </w:rPr>
        <w:lastRenderedPageBreak/>
        <w:t>the sale of portable cylinders.  The Committee is recommending this as a Developing item to address the states’ concerns.</w:t>
      </w:r>
    </w:p>
    <w:p w14:paraId="494F6A35" w14:textId="6F5D9F27" w:rsidR="003B1A9B" w:rsidRDefault="003B1A9B" w:rsidP="002E0C15">
      <w:pPr>
        <w:rPr>
          <w:rFonts w:eastAsia="Times New Roman"/>
          <w:szCs w:val="24"/>
        </w:rPr>
      </w:pPr>
      <w:r w:rsidRPr="00281428">
        <w:rPr>
          <w:szCs w:val="20"/>
          <w:u w:val="single"/>
        </w:rPr>
        <w:t>NEWMA 2019 Interim Meeting:</w:t>
      </w:r>
      <w:r w:rsidRPr="00281428">
        <w:rPr>
          <w:szCs w:val="20"/>
        </w:rPr>
        <w:t xml:space="preserve">  </w:t>
      </w:r>
      <w:r w:rsidRPr="00281428">
        <w:rPr>
          <w:rFonts w:eastAsia="Times New Roman"/>
          <w:szCs w:val="24"/>
        </w:rPr>
        <w:t>The Chairman reviewed the information provided from the previous two regional meetings.  Mr. Richard Sutter (Richard Suiter Consulting) commented that the proposal, as written, could be problematic as it pertains to all sizes of devices.  The Committee recommends the item stay with the developer for further work and vetting through the regions.</w:t>
      </w:r>
    </w:p>
    <w:p w14:paraId="75AF9EAA" w14:textId="375B08DE" w:rsidR="002A49DA" w:rsidRPr="00281428" w:rsidRDefault="002A49DA" w:rsidP="002E0C15">
      <w:pPr>
        <w:rPr>
          <w:szCs w:val="20"/>
        </w:rPr>
      </w:pPr>
      <w:r w:rsidRPr="00063A9D">
        <w:rPr>
          <w:rFonts w:eastAsia="Times New Roman"/>
          <w:szCs w:val="24"/>
          <w:u w:val="single"/>
        </w:rPr>
        <w:t xml:space="preserve">2020 </w:t>
      </w:r>
      <w:r w:rsidR="001377BB">
        <w:rPr>
          <w:rFonts w:eastAsia="Times New Roman"/>
          <w:szCs w:val="24"/>
          <w:u w:val="single"/>
        </w:rPr>
        <w:t>F</w:t>
      </w:r>
      <w:r>
        <w:rPr>
          <w:rFonts w:eastAsia="Times New Roman"/>
          <w:szCs w:val="24"/>
          <w:u w:val="single"/>
        </w:rPr>
        <w:t xml:space="preserve">all </w:t>
      </w:r>
      <w:r w:rsidRPr="00063A9D">
        <w:rPr>
          <w:rFonts w:eastAsia="Times New Roman"/>
          <w:szCs w:val="24"/>
          <w:u w:val="single"/>
        </w:rPr>
        <w:t>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28F50B31" w14:textId="3B2A8E91" w:rsidR="002E0C15" w:rsidRPr="00281428" w:rsidRDefault="003B1A9B" w:rsidP="00D335B6">
      <w:pPr>
        <w:pStyle w:val="TableParagraph"/>
        <w:spacing w:after="240"/>
        <w:ind w:left="0" w:right="94"/>
        <w:jc w:val="both"/>
        <w:rPr>
          <w:sz w:val="20"/>
          <w:szCs w:val="20"/>
        </w:rPr>
      </w:pPr>
      <w:r w:rsidRPr="00281428">
        <w:rPr>
          <w:sz w:val="20"/>
          <w:szCs w:val="20"/>
          <w:u w:val="single"/>
        </w:rPr>
        <w:t>CWMA 20</w:t>
      </w:r>
      <w:r w:rsidR="002E0C15" w:rsidRPr="00281428">
        <w:rPr>
          <w:sz w:val="20"/>
          <w:szCs w:val="20"/>
          <w:u w:val="single"/>
        </w:rPr>
        <w:t>20</w:t>
      </w:r>
      <w:r w:rsidRPr="00281428">
        <w:rPr>
          <w:sz w:val="20"/>
          <w:szCs w:val="20"/>
          <w:u w:val="single"/>
        </w:rPr>
        <w:t xml:space="preserve"> Interim Meeting:</w:t>
      </w:r>
      <w:r w:rsidRPr="00281428">
        <w:rPr>
          <w:sz w:val="20"/>
          <w:szCs w:val="20"/>
        </w:rPr>
        <w:t xml:space="preserve">  </w:t>
      </w:r>
      <w:r w:rsidR="002E0C15" w:rsidRPr="00281428">
        <w:rPr>
          <w:sz w:val="20"/>
          <w:szCs w:val="20"/>
        </w:rPr>
        <w:t>Mr. Charlie Stutesman (</w:t>
      </w:r>
      <w:r w:rsidR="00E4018D">
        <w:rPr>
          <w:sz w:val="20"/>
          <w:szCs w:val="20"/>
        </w:rPr>
        <w:t>KS</w:t>
      </w:r>
      <w:r w:rsidR="00E36CAC" w:rsidRPr="00281428">
        <w:rPr>
          <w:sz w:val="20"/>
          <w:szCs w:val="20"/>
        </w:rPr>
        <w:t>)</w:t>
      </w:r>
      <w:r w:rsidR="002E0C15" w:rsidRPr="00281428">
        <w:rPr>
          <w:sz w:val="20"/>
          <w:szCs w:val="20"/>
        </w:rPr>
        <w:t xml:space="preserve"> commented that if this requires a temperature compensation meter, Handbook 44 exempts meters with a capacity of 20 gallons per minute or less and wonders if that would create an inconsistency between Handbooks 44 and 130. </w:t>
      </w:r>
      <w:r w:rsidR="00E36CAC" w:rsidRPr="00281428">
        <w:rPr>
          <w:sz w:val="20"/>
          <w:szCs w:val="20"/>
        </w:rPr>
        <w:t xml:space="preserve"> </w:t>
      </w:r>
      <w:r w:rsidR="002E0C15" w:rsidRPr="00281428">
        <w:rPr>
          <w:sz w:val="20"/>
          <w:szCs w:val="20"/>
        </w:rPr>
        <w:t>Ms. Lisa Warfield (NIST</w:t>
      </w:r>
      <w:r w:rsidR="00E4018D">
        <w:rPr>
          <w:sz w:val="20"/>
          <w:szCs w:val="20"/>
        </w:rPr>
        <w:t xml:space="preserve"> OWM</w:t>
      </w:r>
      <w:r w:rsidR="002E0C15" w:rsidRPr="00281428">
        <w:rPr>
          <w:sz w:val="20"/>
          <w:szCs w:val="20"/>
        </w:rPr>
        <w:t>) commented that the submitter asked that this item</w:t>
      </w:r>
      <w:r w:rsidR="002E0C15" w:rsidRPr="00281428">
        <w:rPr>
          <w:spacing w:val="-7"/>
          <w:sz w:val="20"/>
          <w:szCs w:val="20"/>
        </w:rPr>
        <w:t xml:space="preserve"> </w:t>
      </w:r>
      <w:r w:rsidR="002E0C15" w:rsidRPr="00281428">
        <w:rPr>
          <w:sz w:val="20"/>
          <w:szCs w:val="20"/>
        </w:rPr>
        <w:t>move</w:t>
      </w:r>
      <w:r w:rsidR="002E0C15" w:rsidRPr="00281428">
        <w:rPr>
          <w:spacing w:val="-8"/>
          <w:sz w:val="20"/>
          <w:szCs w:val="20"/>
        </w:rPr>
        <w:t xml:space="preserve"> </w:t>
      </w:r>
      <w:r w:rsidR="002E0C15" w:rsidRPr="00281428">
        <w:rPr>
          <w:sz w:val="20"/>
          <w:szCs w:val="20"/>
        </w:rPr>
        <w:t>forward</w:t>
      </w:r>
      <w:r w:rsidR="002E0C15" w:rsidRPr="00281428">
        <w:rPr>
          <w:spacing w:val="-6"/>
          <w:sz w:val="20"/>
          <w:szCs w:val="20"/>
        </w:rPr>
        <w:t xml:space="preserve"> </w:t>
      </w:r>
      <w:r w:rsidR="002E0C15" w:rsidRPr="00281428">
        <w:rPr>
          <w:sz w:val="20"/>
          <w:szCs w:val="20"/>
        </w:rPr>
        <w:t>through</w:t>
      </w:r>
      <w:r w:rsidR="002E0C15" w:rsidRPr="00281428">
        <w:rPr>
          <w:spacing w:val="-6"/>
          <w:sz w:val="20"/>
          <w:szCs w:val="20"/>
        </w:rPr>
        <w:t xml:space="preserve"> </w:t>
      </w:r>
      <w:r w:rsidR="002E0C15" w:rsidRPr="00281428">
        <w:rPr>
          <w:sz w:val="20"/>
          <w:szCs w:val="20"/>
        </w:rPr>
        <w:t>the</w:t>
      </w:r>
      <w:r w:rsidR="002E0C15" w:rsidRPr="00281428">
        <w:rPr>
          <w:spacing w:val="-6"/>
          <w:sz w:val="20"/>
          <w:szCs w:val="20"/>
        </w:rPr>
        <w:t xml:space="preserve"> </w:t>
      </w:r>
      <w:r w:rsidR="002E0C15" w:rsidRPr="00281428">
        <w:rPr>
          <w:sz w:val="20"/>
          <w:szCs w:val="20"/>
        </w:rPr>
        <w:t>regions</w:t>
      </w:r>
      <w:r w:rsidR="002E0C15" w:rsidRPr="00281428">
        <w:rPr>
          <w:spacing w:val="-7"/>
          <w:sz w:val="20"/>
          <w:szCs w:val="20"/>
        </w:rPr>
        <w:t xml:space="preserve"> </w:t>
      </w:r>
      <w:r w:rsidR="002E0C15" w:rsidRPr="00281428">
        <w:rPr>
          <w:sz w:val="20"/>
          <w:szCs w:val="20"/>
        </w:rPr>
        <w:t>for</w:t>
      </w:r>
      <w:r w:rsidR="002E0C15" w:rsidRPr="00281428">
        <w:rPr>
          <w:spacing w:val="-7"/>
          <w:sz w:val="20"/>
          <w:szCs w:val="20"/>
        </w:rPr>
        <w:t xml:space="preserve"> </w:t>
      </w:r>
      <w:r w:rsidR="002E0C15" w:rsidRPr="00281428">
        <w:rPr>
          <w:sz w:val="20"/>
          <w:szCs w:val="20"/>
        </w:rPr>
        <w:t>consideration.</w:t>
      </w:r>
      <w:r w:rsidR="002E0C15" w:rsidRPr="00281428">
        <w:rPr>
          <w:spacing w:val="43"/>
          <w:sz w:val="20"/>
          <w:szCs w:val="20"/>
        </w:rPr>
        <w:t xml:space="preserve"> </w:t>
      </w:r>
      <w:r w:rsidR="00E36CAC" w:rsidRPr="00281428">
        <w:rPr>
          <w:spacing w:val="43"/>
          <w:sz w:val="20"/>
          <w:szCs w:val="20"/>
        </w:rPr>
        <w:t xml:space="preserve"> </w:t>
      </w:r>
      <w:r w:rsidR="00E4018D">
        <w:rPr>
          <w:sz w:val="20"/>
          <w:szCs w:val="20"/>
        </w:rPr>
        <w:t>Ms. Warfield</w:t>
      </w:r>
      <w:r w:rsidR="002E0C15" w:rsidRPr="00281428">
        <w:rPr>
          <w:spacing w:val="-6"/>
          <w:sz w:val="20"/>
          <w:szCs w:val="20"/>
        </w:rPr>
        <w:t xml:space="preserve"> </w:t>
      </w:r>
      <w:r w:rsidR="002E0C15" w:rsidRPr="00281428">
        <w:rPr>
          <w:sz w:val="20"/>
          <w:szCs w:val="20"/>
        </w:rPr>
        <w:t>further</w:t>
      </w:r>
      <w:r w:rsidR="002E0C15" w:rsidRPr="00281428">
        <w:rPr>
          <w:spacing w:val="-6"/>
          <w:sz w:val="20"/>
          <w:szCs w:val="20"/>
        </w:rPr>
        <w:t xml:space="preserve"> </w:t>
      </w:r>
      <w:r w:rsidR="002E0C15" w:rsidRPr="00281428">
        <w:rPr>
          <w:sz w:val="20"/>
          <w:szCs w:val="20"/>
        </w:rPr>
        <w:t>stated</w:t>
      </w:r>
      <w:r w:rsidR="002E0C15" w:rsidRPr="00281428">
        <w:rPr>
          <w:spacing w:val="-5"/>
          <w:sz w:val="20"/>
          <w:szCs w:val="20"/>
        </w:rPr>
        <w:t xml:space="preserve"> </w:t>
      </w:r>
      <w:r w:rsidR="002E0C15" w:rsidRPr="00281428">
        <w:rPr>
          <w:sz w:val="20"/>
          <w:szCs w:val="20"/>
        </w:rPr>
        <w:t>NIST</w:t>
      </w:r>
      <w:r w:rsidR="002E0C15" w:rsidRPr="00281428">
        <w:rPr>
          <w:spacing w:val="-6"/>
          <w:sz w:val="20"/>
          <w:szCs w:val="20"/>
        </w:rPr>
        <w:t xml:space="preserve"> </w:t>
      </w:r>
      <w:r w:rsidR="002E0C15" w:rsidRPr="00281428">
        <w:rPr>
          <w:sz w:val="20"/>
          <w:szCs w:val="20"/>
        </w:rPr>
        <w:t>believes</w:t>
      </w:r>
      <w:r w:rsidR="002E0C15" w:rsidRPr="00281428">
        <w:rPr>
          <w:spacing w:val="-7"/>
          <w:sz w:val="20"/>
          <w:szCs w:val="20"/>
        </w:rPr>
        <w:t xml:space="preserve"> </w:t>
      </w:r>
      <w:r w:rsidR="002E0C15" w:rsidRPr="00281428">
        <w:rPr>
          <w:sz w:val="20"/>
          <w:szCs w:val="20"/>
        </w:rPr>
        <w:t>the</w:t>
      </w:r>
      <w:r w:rsidR="002E0C15" w:rsidRPr="00281428">
        <w:rPr>
          <w:spacing w:val="-6"/>
          <w:sz w:val="20"/>
          <w:szCs w:val="20"/>
        </w:rPr>
        <w:t xml:space="preserve"> </w:t>
      </w:r>
      <w:r w:rsidR="002E0C15" w:rsidRPr="00281428">
        <w:rPr>
          <w:sz w:val="20"/>
          <w:szCs w:val="20"/>
        </w:rPr>
        <w:t>language</w:t>
      </w:r>
      <w:r w:rsidR="002E0C15" w:rsidRPr="00281428">
        <w:rPr>
          <w:spacing w:val="-6"/>
          <w:sz w:val="20"/>
          <w:szCs w:val="20"/>
        </w:rPr>
        <w:t xml:space="preserve"> </w:t>
      </w:r>
      <w:r w:rsidR="002E0C15" w:rsidRPr="00281428">
        <w:rPr>
          <w:sz w:val="20"/>
          <w:szCs w:val="20"/>
        </w:rPr>
        <w:t>in</w:t>
      </w:r>
      <w:r w:rsidR="002E0C15" w:rsidRPr="00281428">
        <w:rPr>
          <w:spacing w:val="-6"/>
          <w:sz w:val="20"/>
          <w:szCs w:val="20"/>
        </w:rPr>
        <w:t xml:space="preserve"> </w:t>
      </w:r>
      <w:r w:rsidR="002E0C15" w:rsidRPr="00281428">
        <w:rPr>
          <w:sz w:val="20"/>
          <w:szCs w:val="20"/>
        </w:rPr>
        <w:t>the</w:t>
      </w:r>
      <w:r w:rsidR="002E0C15" w:rsidRPr="00281428">
        <w:rPr>
          <w:spacing w:val="-5"/>
          <w:sz w:val="20"/>
          <w:szCs w:val="20"/>
        </w:rPr>
        <w:t xml:space="preserve"> </w:t>
      </w:r>
      <w:r w:rsidR="002E0C15" w:rsidRPr="00281428">
        <w:rPr>
          <w:sz w:val="20"/>
          <w:szCs w:val="20"/>
        </w:rPr>
        <w:t xml:space="preserve">two handbooks does not conflict. </w:t>
      </w:r>
      <w:r w:rsidR="00E36CAC" w:rsidRPr="00281428">
        <w:rPr>
          <w:sz w:val="20"/>
          <w:szCs w:val="20"/>
        </w:rPr>
        <w:t xml:space="preserve"> </w:t>
      </w:r>
      <w:r w:rsidR="002E0C15" w:rsidRPr="00281428">
        <w:rPr>
          <w:sz w:val="20"/>
          <w:szCs w:val="20"/>
        </w:rPr>
        <w:t xml:space="preserve">Mr. Loren </w:t>
      </w:r>
      <w:r w:rsidR="00A07E0D" w:rsidRPr="00281428">
        <w:rPr>
          <w:sz w:val="20"/>
          <w:szCs w:val="20"/>
        </w:rPr>
        <w:t>Minnich</w:t>
      </w:r>
      <w:r w:rsidR="002E0C15" w:rsidRPr="00281428">
        <w:rPr>
          <w:sz w:val="20"/>
          <w:szCs w:val="20"/>
        </w:rPr>
        <w:t xml:space="preserve"> (</w:t>
      </w:r>
      <w:r w:rsidR="00E4018D">
        <w:rPr>
          <w:sz w:val="20"/>
          <w:szCs w:val="20"/>
        </w:rPr>
        <w:t>KS</w:t>
      </w:r>
      <w:r w:rsidR="002E0C15" w:rsidRPr="00281428">
        <w:rPr>
          <w:sz w:val="20"/>
          <w:szCs w:val="20"/>
        </w:rPr>
        <w:t>) commented that Handbook 44, Section S</w:t>
      </w:r>
      <w:r w:rsidR="00E36CAC" w:rsidRPr="00281428">
        <w:rPr>
          <w:sz w:val="20"/>
          <w:szCs w:val="20"/>
        </w:rPr>
        <w:t>.</w:t>
      </w:r>
      <w:r w:rsidR="002E0C15" w:rsidRPr="00281428">
        <w:rPr>
          <w:sz w:val="20"/>
          <w:szCs w:val="20"/>
        </w:rPr>
        <w:t xml:space="preserve">2.8. does not conflict. </w:t>
      </w:r>
      <w:r w:rsidR="00E36CAC" w:rsidRPr="00281428">
        <w:rPr>
          <w:sz w:val="20"/>
          <w:szCs w:val="20"/>
        </w:rPr>
        <w:t xml:space="preserve"> </w:t>
      </w:r>
      <w:r w:rsidR="002E0C15" w:rsidRPr="00281428">
        <w:rPr>
          <w:sz w:val="20"/>
          <w:szCs w:val="20"/>
        </w:rPr>
        <w:t xml:space="preserve">Mr. Stutesman asked for clarification regarding whether this would force meters without temperature compensation to require them to be installed. </w:t>
      </w:r>
      <w:r w:rsidR="00374A5C" w:rsidRPr="00281428">
        <w:rPr>
          <w:sz w:val="20"/>
          <w:szCs w:val="20"/>
        </w:rPr>
        <w:t xml:space="preserve"> </w:t>
      </w:r>
      <w:r w:rsidR="002E0C15" w:rsidRPr="00281428">
        <w:rPr>
          <w:sz w:val="20"/>
          <w:szCs w:val="20"/>
        </w:rPr>
        <w:t xml:space="preserve">Ms. Warfield further commented that the reason this item was developed is to provide consistency for the method of sale. </w:t>
      </w:r>
      <w:r w:rsidR="00374A5C" w:rsidRPr="00281428">
        <w:rPr>
          <w:sz w:val="20"/>
          <w:szCs w:val="20"/>
        </w:rPr>
        <w:t xml:space="preserve"> </w:t>
      </w:r>
      <w:r w:rsidR="002E0C15" w:rsidRPr="00281428">
        <w:rPr>
          <w:sz w:val="20"/>
          <w:szCs w:val="20"/>
        </w:rPr>
        <w:t>Mr. Ivan Hankins (</w:t>
      </w:r>
      <w:r w:rsidR="00B51728">
        <w:rPr>
          <w:sz w:val="20"/>
          <w:szCs w:val="20"/>
        </w:rPr>
        <w:t>IA</w:t>
      </w:r>
      <w:r w:rsidR="002E0C15" w:rsidRPr="00281428">
        <w:rPr>
          <w:sz w:val="20"/>
          <w:szCs w:val="20"/>
        </w:rPr>
        <w:t xml:space="preserve">) commented that he also wonders if there is a conflict between the handbooks. </w:t>
      </w:r>
      <w:r w:rsidR="00374A5C" w:rsidRPr="00281428">
        <w:rPr>
          <w:sz w:val="20"/>
          <w:szCs w:val="20"/>
        </w:rPr>
        <w:t xml:space="preserve"> </w:t>
      </w:r>
      <w:r w:rsidR="002E0C15" w:rsidRPr="00281428">
        <w:rPr>
          <w:sz w:val="20"/>
          <w:szCs w:val="20"/>
        </w:rPr>
        <w:t>Mr. Stutesman lastly commented that he believes that Handbook 130 indicates that states shall require temperature compensation, and Handbook 44 indicates that states may</w:t>
      </w:r>
      <w:r w:rsidR="002E0C15" w:rsidRPr="00281428">
        <w:rPr>
          <w:spacing w:val="-9"/>
          <w:sz w:val="20"/>
          <w:szCs w:val="20"/>
        </w:rPr>
        <w:t xml:space="preserve"> </w:t>
      </w:r>
      <w:r w:rsidR="002E0C15" w:rsidRPr="00281428">
        <w:rPr>
          <w:sz w:val="20"/>
          <w:szCs w:val="20"/>
        </w:rPr>
        <w:t>have</w:t>
      </w:r>
      <w:r w:rsidR="002E0C15" w:rsidRPr="00281428">
        <w:rPr>
          <w:spacing w:val="-9"/>
          <w:sz w:val="20"/>
          <w:szCs w:val="20"/>
        </w:rPr>
        <w:t xml:space="preserve"> </w:t>
      </w:r>
      <w:r w:rsidR="002E0C15" w:rsidRPr="00281428">
        <w:rPr>
          <w:sz w:val="20"/>
          <w:szCs w:val="20"/>
        </w:rPr>
        <w:t>but</w:t>
      </w:r>
      <w:r w:rsidR="002E0C15" w:rsidRPr="00281428">
        <w:rPr>
          <w:spacing w:val="-9"/>
          <w:sz w:val="20"/>
          <w:szCs w:val="20"/>
        </w:rPr>
        <w:t xml:space="preserve"> </w:t>
      </w:r>
      <w:r w:rsidR="002E0C15" w:rsidRPr="00281428">
        <w:rPr>
          <w:sz w:val="20"/>
          <w:szCs w:val="20"/>
        </w:rPr>
        <w:t>are</w:t>
      </w:r>
      <w:r w:rsidR="002E0C15" w:rsidRPr="00281428">
        <w:rPr>
          <w:spacing w:val="-11"/>
          <w:sz w:val="20"/>
          <w:szCs w:val="20"/>
        </w:rPr>
        <w:t xml:space="preserve"> </w:t>
      </w:r>
      <w:r w:rsidR="002E0C15" w:rsidRPr="00281428">
        <w:rPr>
          <w:sz w:val="20"/>
          <w:szCs w:val="20"/>
        </w:rPr>
        <w:t>not</w:t>
      </w:r>
      <w:r w:rsidR="002E0C15" w:rsidRPr="00281428">
        <w:rPr>
          <w:spacing w:val="-9"/>
          <w:sz w:val="20"/>
          <w:szCs w:val="20"/>
        </w:rPr>
        <w:t xml:space="preserve"> </w:t>
      </w:r>
      <w:r w:rsidR="002E0C15" w:rsidRPr="00281428">
        <w:rPr>
          <w:sz w:val="20"/>
          <w:szCs w:val="20"/>
        </w:rPr>
        <w:t>required</w:t>
      </w:r>
      <w:r w:rsidR="002E0C15" w:rsidRPr="00281428">
        <w:rPr>
          <w:spacing w:val="-9"/>
          <w:sz w:val="20"/>
          <w:szCs w:val="20"/>
        </w:rPr>
        <w:t xml:space="preserve"> </w:t>
      </w:r>
      <w:r w:rsidR="002E0C15" w:rsidRPr="00281428">
        <w:rPr>
          <w:sz w:val="20"/>
          <w:szCs w:val="20"/>
        </w:rPr>
        <w:t>to</w:t>
      </w:r>
      <w:r w:rsidR="002E0C15" w:rsidRPr="00281428">
        <w:rPr>
          <w:spacing w:val="-8"/>
          <w:sz w:val="20"/>
          <w:szCs w:val="20"/>
        </w:rPr>
        <w:t xml:space="preserve"> </w:t>
      </w:r>
      <w:r w:rsidR="002E0C15" w:rsidRPr="00281428">
        <w:rPr>
          <w:sz w:val="20"/>
          <w:szCs w:val="20"/>
        </w:rPr>
        <w:t>have</w:t>
      </w:r>
      <w:r w:rsidR="002E0C15" w:rsidRPr="00281428">
        <w:rPr>
          <w:spacing w:val="-11"/>
          <w:sz w:val="20"/>
          <w:szCs w:val="20"/>
        </w:rPr>
        <w:t xml:space="preserve"> </w:t>
      </w:r>
      <w:r w:rsidR="002E0C15" w:rsidRPr="00281428">
        <w:rPr>
          <w:sz w:val="20"/>
          <w:szCs w:val="20"/>
        </w:rPr>
        <w:t>temperature</w:t>
      </w:r>
      <w:r w:rsidR="002E0C15" w:rsidRPr="00281428">
        <w:rPr>
          <w:spacing w:val="-9"/>
          <w:sz w:val="20"/>
          <w:szCs w:val="20"/>
        </w:rPr>
        <w:t xml:space="preserve"> </w:t>
      </w:r>
      <w:r w:rsidR="002E0C15" w:rsidRPr="00281428">
        <w:rPr>
          <w:sz w:val="20"/>
          <w:szCs w:val="20"/>
        </w:rPr>
        <w:t>compensation</w:t>
      </w:r>
      <w:r w:rsidR="002E0C15" w:rsidRPr="00281428">
        <w:rPr>
          <w:spacing w:val="-8"/>
          <w:sz w:val="20"/>
          <w:szCs w:val="20"/>
        </w:rPr>
        <w:t xml:space="preserve"> </w:t>
      </w:r>
      <w:r w:rsidR="002E0C15" w:rsidRPr="00281428">
        <w:rPr>
          <w:sz w:val="20"/>
          <w:szCs w:val="20"/>
        </w:rPr>
        <w:t>meters,</w:t>
      </w:r>
      <w:r w:rsidR="002E0C15" w:rsidRPr="00281428">
        <w:rPr>
          <w:spacing w:val="-10"/>
          <w:sz w:val="20"/>
          <w:szCs w:val="20"/>
        </w:rPr>
        <w:t xml:space="preserve"> </w:t>
      </w:r>
      <w:r w:rsidR="002E0C15" w:rsidRPr="00281428">
        <w:rPr>
          <w:sz w:val="20"/>
          <w:szCs w:val="20"/>
        </w:rPr>
        <w:t>and</w:t>
      </w:r>
      <w:r w:rsidR="002E0C15" w:rsidRPr="00281428">
        <w:rPr>
          <w:spacing w:val="-8"/>
          <w:sz w:val="20"/>
          <w:szCs w:val="20"/>
        </w:rPr>
        <w:t xml:space="preserve"> </w:t>
      </w:r>
      <w:r w:rsidR="002E0C15" w:rsidRPr="00281428">
        <w:rPr>
          <w:sz w:val="20"/>
          <w:szCs w:val="20"/>
        </w:rPr>
        <w:t>whether</w:t>
      </w:r>
      <w:r w:rsidR="002E0C15" w:rsidRPr="00281428">
        <w:rPr>
          <w:spacing w:val="-8"/>
          <w:sz w:val="20"/>
          <w:szCs w:val="20"/>
        </w:rPr>
        <w:t xml:space="preserve"> </w:t>
      </w:r>
      <w:r w:rsidR="002E0C15" w:rsidRPr="00281428">
        <w:rPr>
          <w:sz w:val="20"/>
          <w:szCs w:val="20"/>
        </w:rPr>
        <w:t>this</w:t>
      </w:r>
      <w:r w:rsidR="002E0C15" w:rsidRPr="00281428">
        <w:rPr>
          <w:spacing w:val="-10"/>
          <w:sz w:val="20"/>
          <w:szCs w:val="20"/>
        </w:rPr>
        <w:t xml:space="preserve"> </w:t>
      </w:r>
      <w:r w:rsidR="002E0C15" w:rsidRPr="00281428">
        <w:rPr>
          <w:sz w:val="20"/>
          <w:szCs w:val="20"/>
        </w:rPr>
        <w:t>should</w:t>
      </w:r>
      <w:r w:rsidR="002E0C15" w:rsidRPr="00281428">
        <w:rPr>
          <w:spacing w:val="-11"/>
          <w:sz w:val="20"/>
          <w:szCs w:val="20"/>
        </w:rPr>
        <w:t xml:space="preserve"> </w:t>
      </w:r>
      <w:r w:rsidR="002E0C15" w:rsidRPr="00281428">
        <w:rPr>
          <w:sz w:val="20"/>
          <w:szCs w:val="20"/>
        </w:rPr>
        <w:t>be</w:t>
      </w:r>
      <w:r w:rsidR="002E0C15" w:rsidRPr="00281428">
        <w:rPr>
          <w:spacing w:val="-9"/>
          <w:sz w:val="20"/>
          <w:szCs w:val="20"/>
        </w:rPr>
        <w:t xml:space="preserve"> </w:t>
      </w:r>
      <w:r w:rsidR="002E0C15" w:rsidRPr="00281428">
        <w:rPr>
          <w:sz w:val="20"/>
          <w:szCs w:val="20"/>
        </w:rPr>
        <w:t>a</w:t>
      </w:r>
      <w:r w:rsidR="002E0C15" w:rsidRPr="00281428">
        <w:rPr>
          <w:spacing w:val="-10"/>
          <w:sz w:val="20"/>
          <w:szCs w:val="20"/>
        </w:rPr>
        <w:t xml:space="preserve"> </w:t>
      </w:r>
      <w:r w:rsidR="002E0C15" w:rsidRPr="00281428">
        <w:rPr>
          <w:sz w:val="20"/>
          <w:szCs w:val="20"/>
        </w:rPr>
        <w:t xml:space="preserve">jurisdictional issue depending on which handbooks are adopted in states. </w:t>
      </w:r>
      <w:r w:rsidR="00A13B4E" w:rsidRPr="00281428">
        <w:rPr>
          <w:sz w:val="20"/>
          <w:szCs w:val="20"/>
        </w:rPr>
        <w:t xml:space="preserve"> </w:t>
      </w:r>
      <w:r w:rsidR="002E0C15" w:rsidRPr="00281428">
        <w:rPr>
          <w:sz w:val="20"/>
          <w:szCs w:val="20"/>
        </w:rPr>
        <w:t xml:space="preserve">Ms. Warfield reminded members to review the background information on this issue. </w:t>
      </w:r>
      <w:r w:rsidR="00E36CAC" w:rsidRPr="00281428">
        <w:rPr>
          <w:sz w:val="20"/>
          <w:szCs w:val="20"/>
        </w:rPr>
        <w:t xml:space="preserve"> </w:t>
      </w:r>
      <w:r w:rsidR="002E0C15" w:rsidRPr="00281428">
        <w:rPr>
          <w:sz w:val="20"/>
          <w:szCs w:val="20"/>
        </w:rPr>
        <w:t>Mr. Stephen Peter (</w:t>
      </w:r>
      <w:r w:rsidR="00B51728">
        <w:rPr>
          <w:sz w:val="20"/>
          <w:szCs w:val="20"/>
        </w:rPr>
        <w:t>WI</w:t>
      </w:r>
      <w:r w:rsidR="002E0C15" w:rsidRPr="00281428">
        <w:rPr>
          <w:sz w:val="20"/>
          <w:szCs w:val="20"/>
        </w:rPr>
        <w:t>) asked how if this item is adopted, there should</w:t>
      </w:r>
      <w:r w:rsidR="002E0C15" w:rsidRPr="00281428">
        <w:rPr>
          <w:spacing w:val="-6"/>
          <w:sz w:val="20"/>
          <w:szCs w:val="20"/>
        </w:rPr>
        <w:t xml:space="preserve"> </w:t>
      </w:r>
      <w:r w:rsidR="002E0C15" w:rsidRPr="00281428">
        <w:rPr>
          <w:sz w:val="20"/>
          <w:szCs w:val="20"/>
        </w:rPr>
        <w:t>be</w:t>
      </w:r>
      <w:r w:rsidR="002E0C15" w:rsidRPr="00281428">
        <w:rPr>
          <w:spacing w:val="-5"/>
          <w:sz w:val="20"/>
          <w:szCs w:val="20"/>
        </w:rPr>
        <w:t xml:space="preserve"> </w:t>
      </w:r>
      <w:r w:rsidR="002E0C15" w:rsidRPr="00281428">
        <w:rPr>
          <w:sz w:val="20"/>
          <w:szCs w:val="20"/>
        </w:rPr>
        <w:t>lead</w:t>
      </w:r>
      <w:r w:rsidR="002E0C15" w:rsidRPr="00281428">
        <w:rPr>
          <w:spacing w:val="-4"/>
          <w:sz w:val="20"/>
          <w:szCs w:val="20"/>
        </w:rPr>
        <w:t xml:space="preserve"> </w:t>
      </w:r>
      <w:r w:rsidR="002E0C15" w:rsidRPr="00281428">
        <w:rPr>
          <w:sz w:val="20"/>
          <w:szCs w:val="20"/>
        </w:rPr>
        <w:t>time</w:t>
      </w:r>
      <w:r w:rsidR="002E0C15" w:rsidRPr="00281428">
        <w:rPr>
          <w:spacing w:val="-4"/>
          <w:sz w:val="20"/>
          <w:szCs w:val="20"/>
        </w:rPr>
        <w:t xml:space="preserve"> </w:t>
      </w:r>
      <w:r w:rsidR="002E0C15" w:rsidRPr="00281428">
        <w:rPr>
          <w:sz w:val="20"/>
          <w:szCs w:val="20"/>
        </w:rPr>
        <w:t>–</w:t>
      </w:r>
      <w:r w:rsidR="002E0C15" w:rsidRPr="00281428">
        <w:rPr>
          <w:spacing w:val="-6"/>
          <w:sz w:val="20"/>
          <w:szCs w:val="20"/>
        </w:rPr>
        <w:t xml:space="preserve"> </w:t>
      </w:r>
      <w:r w:rsidR="002E0C15" w:rsidRPr="00281428">
        <w:rPr>
          <w:sz w:val="20"/>
          <w:szCs w:val="20"/>
        </w:rPr>
        <w:t>possibly</w:t>
      </w:r>
      <w:r w:rsidR="002E0C15" w:rsidRPr="00281428">
        <w:rPr>
          <w:spacing w:val="-5"/>
          <w:sz w:val="20"/>
          <w:szCs w:val="20"/>
        </w:rPr>
        <w:t xml:space="preserve"> </w:t>
      </w:r>
      <w:r w:rsidR="002E0C15" w:rsidRPr="00281428">
        <w:rPr>
          <w:sz w:val="20"/>
          <w:szCs w:val="20"/>
        </w:rPr>
        <w:t>2030</w:t>
      </w:r>
      <w:r w:rsidR="002E0C15" w:rsidRPr="00281428">
        <w:rPr>
          <w:spacing w:val="-3"/>
          <w:sz w:val="20"/>
          <w:szCs w:val="20"/>
        </w:rPr>
        <w:t xml:space="preserve"> </w:t>
      </w:r>
      <w:r w:rsidR="002E0C15" w:rsidRPr="00281428">
        <w:rPr>
          <w:sz w:val="20"/>
          <w:szCs w:val="20"/>
        </w:rPr>
        <w:t>–</w:t>
      </w:r>
      <w:r w:rsidR="002E0C15" w:rsidRPr="00281428">
        <w:rPr>
          <w:spacing w:val="-5"/>
          <w:sz w:val="20"/>
          <w:szCs w:val="20"/>
        </w:rPr>
        <w:t xml:space="preserve"> </w:t>
      </w:r>
      <w:r w:rsidR="002E0C15" w:rsidRPr="00281428">
        <w:rPr>
          <w:sz w:val="20"/>
          <w:szCs w:val="20"/>
        </w:rPr>
        <w:t>to</w:t>
      </w:r>
      <w:r w:rsidR="002E0C15" w:rsidRPr="00281428">
        <w:rPr>
          <w:spacing w:val="-5"/>
          <w:sz w:val="20"/>
          <w:szCs w:val="20"/>
        </w:rPr>
        <w:t xml:space="preserve"> </w:t>
      </w:r>
      <w:r w:rsidR="002E0C15" w:rsidRPr="00281428">
        <w:rPr>
          <w:sz w:val="20"/>
          <w:szCs w:val="20"/>
        </w:rPr>
        <w:t>allow</w:t>
      </w:r>
      <w:r w:rsidR="002E0C15" w:rsidRPr="00281428">
        <w:rPr>
          <w:spacing w:val="-7"/>
          <w:sz w:val="20"/>
          <w:szCs w:val="20"/>
        </w:rPr>
        <w:t xml:space="preserve"> </w:t>
      </w:r>
      <w:r w:rsidR="002E0C15" w:rsidRPr="00281428">
        <w:rPr>
          <w:sz w:val="20"/>
          <w:szCs w:val="20"/>
        </w:rPr>
        <w:t>time</w:t>
      </w:r>
      <w:r w:rsidR="002E0C15" w:rsidRPr="00281428">
        <w:rPr>
          <w:spacing w:val="-5"/>
          <w:sz w:val="20"/>
          <w:szCs w:val="20"/>
        </w:rPr>
        <w:t xml:space="preserve"> </w:t>
      </w:r>
      <w:r w:rsidR="002E0C15" w:rsidRPr="00281428">
        <w:rPr>
          <w:sz w:val="20"/>
          <w:szCs w:val="20"/>
        </w:rPr>
        <w:t>for</w:t>
      </w:r>
      <w:r w:rsidR="002E0C15" w:rsidRPr="00281428">
        <w:rPr>
          <w:spacing w:val="-5"/>
          <w:sz w:val="20"/>
          <w:szCs w:val="20"/>
        </w:rPr>
        <w:t xml:space="preserve"> </w:t>
      </w:r>
      <w:r w:rsidR="002E0C15" w:rsidRPr="00281428">
        <w:rPr>
          <w:sz w:val="20"/>
          <w:szCs w:val="20"/>
        </w:rPr>
        <w:t>compliance.</w:t>
      </w:r>
      <w:r w:rsidR="00E36CAC" w:rsidRPr="00281428">
        <w:rPr>
          <w:sz w:val="20"/>
          <w:szCs w:val="20"/>
        </w:rPr>
        <w:t xml:space="preserve"> </w:t>
      </w:r>
      <w:r w:rsidR="002E0C15" w:rsidRPr="00281428">
        <w:rPr>
          <w:spacing w:val="42"/>
          <w:sz w:val="20"/>
          <w:szCs w:val="20"/>
        </w:rPr>
        <w:t xml:space="preserve"> </w:t>
      </w:r>
      <w:r w:rsidR="002E0C15" w:rsidRPr="00281428">
        <w:rPr>
          <w:sz w:val="20"/>
          <w:szCs w:val="20"/>
        </w:rPr>
        <w:t>The</w:t>
      </w:r>
      <w:r w:rsidR="002E0C15" w:rsidRPr="00281428">
        <w:rPr>
          <w:spacing w:val="-6"/>
          <w:sz w:val="20"/>
          <w:szCs w:val="20"/>
        </w:rPr>
        <w:t xml:space="preserve"> </w:t>
      </w:r>
      <w:r w:rsidR="002E0C15" w:rsidRPr="00281428">
        <w:rPr>
          <w:sz w:val="20"/>
          <w:szCs w:val="20"/>
        </w:rPr>
        <w:t>Committee</w:t>
      </w:r>
      <w:r w:rsidR="002E0C15" w:rsidRPr="00281428">
        <w:rPr>
          <w:spacing w:val="-6"/>
          <w:sz w:val="20"/>
          <w:szCs w:val="20"/>
        </w:rPr>
        <w:t xml:space="preserve"> </w:t>
      </w:r>
      <w:r w:rsidR="002E0C15" w:rsidRPr="00281428">
        <w:rPr>
          <w:sz w:val="20"/>
          <w:szCs w:val="20"/>
        </w:rPr>
        <w:t>discussed</w:t>
      </w:r>
      <w:r w:rsidR="002E0C15" w:rsidRPr="00281428">
        <w:rPr>
          <w:spacing w:val="-4"/>
          <w:sz w:val="20"/>
          <w:szCs w:val="20"/>
        </w:rPr>
        <w:t xml:space="preserve"> </w:t>
      </w:r>
      <w:r w:rsidR="002E0C15" w:rsidRPr="00281428">
        <w:rPr>
          <w:sz w:val="20"/>
          <w:szCs w:val="20"/>
        </w:rPr>
        <w:t>the</w:t>
      </w:r>
      <w:r w:rsidR="002E0C15" w:rsidRPr="00281428">
        <w:rPr>
          <w:spacing w:val="-5"/>
          <w:sz w:val="20"/>
          <w:szCs w:val="20"/>
        </w:rPr>
        <w:t xml:space="preserve"> </w:t>
      </w:r>
      <w:r w:rsidR="002E0C15" w:rsidRPr="00281428">
        <w:rPr>
          <w:sz w:val="20"/>
          <w:szCs w:val="20"/>
        </w:rPr>
        <w:t xml:space="preserve">implementation date should be five years from the date of adoption. </w:t>
      </w:r>
      <w:r w:rsidR="00E36CAC" w:rsidRPr="00281428">
        <w:rPr>
          <w:sz w:val="20"/>
          <w:szCs w:val="20"/>
        </w:rPr>
        <w:t xml:space="preserve"> </w:t>
      </w:r>
      <w:r w:rsidR="002E0C15" w:rsidRPr="00281428">
        <w:rPr>
          <w:sz w:val="20"/>
          <w:szCs w:val="20"/>
        </w:rPr>
        <w:t>The Committee requests that the NCWM S&amp;T Committee to consider</w:t>
      </w:r>
      <w:r w:rsidR="002E0C15" w:rsidRPr="00281428">
        <w:rPr>
          <w:spacing w:val="-8"/>
          <w:sz w:val="20"/>
          <w:szCs w:val="20"/>
        </w:rPr>
        <w:t xml:space="preserve"> </w:t>
      </w:r>
      <w:r w:rsidR="002E0C15" w:rsidRPr="00281428">
        <w:rPr>
          <w:sz w:val="20"/>
          <w:szCs w:val="20"/>
        </w:rPr>
        <w:t>the</w:t>
      </w:r>
      <w:r w:rsidR="002E0C15" w:rsidRPr="00281428">
        <w:rPr>
          <w:spacing w:val="-9"/>
          <w:sz w:val="20"/>
          <w:szCs w:val="20"/>
        </w:rPr>
        <w:t xml:space="preserve"> </w:t>
      </w:r>
      <w:r w:rsidR="002E0C15" w:rsidRPr="00281428">
        <w:rPr>
          <w:sz w:val="20"/>
          <w:szCs w:val="20"/>
        </w:rPr>
        <w:t>implications</w:t>
      </w:r>
      <w:r w:rsidR="002E0C15" w:rsidRPr="00281428">
        <w:rPr>
          <w:spacing w:val="-10"/>
          <w:sz w:val="20"/>
          <w:szCs w:val="20"/>
        </w:rPr>
        <w:t xml:space="preserve"> </w:t>
      </w:r>
      <w:r w:rsidR="002E0C15" w:rsidRPr="00281428">
        <w:rPr>
          <w:sz w:val="20"/>
          <w:szCs w:val="20"/>
        </w:rPr>
        <w:t>of</w:t>
      </w:r>
      <w:r w:rsidR="002E0C15" w:rsidRPr="00281428">
        <w:rPr>
          <w:spacing w:val="-10"/>
          <w:sz w:val="20"/>
          <w:szCs w:val="20"/>
        </w:rPr>
        <w:t xml:space="preserve"> </w:t>
      </w:r>
      <w:r w:rsidR="002E0C15" w:rsidRPr="00281428">
        <w:rPr>
          <w:sz w:val="20"/>
          <w:szCs w:val="20"/>
        </w:rPr>
        <w:t>passing</w:t>
      </w:r>
      <w:r w:rsidR="002E0C15" w:rsidRPr="00281428">
        <w:rPr>
          <w:spacing w:val="-8"/>
          <w:sz w:val="20"/>
          <w:szCs w:val="20"/>
        </w:rPr>
        <w:t xml:space="preserve"> </w:t>
      </w:r>
      <w:r w:rsidR="002E0C15" w:rsidRPr="00281428">
        <w:rPr>
          <w:sz w:val="20"/>
          <w:szCs w:val="20"/>
        </w:rPr>
        <w:t>this</w:t>
      </w:r>
      <w:r w:rsidR="002E0C15" w:rsidRPr="00281428">
        <w:rPr>
          <w:spacing w:val="-10"/>
          <w:sz w:val="20"/>
          <w:szCs w:val="20"/>
        </w:rPr>
        <w:t xml:space="preserve"> </w:t>
      </w:r>
      <w:r w:rsidR="002E0C15" w:rsidRPr="00281428">
        <w:rPr>
          <w:sz w:val="20"/>
          <w:szCs w:val="20"/>
        </w:rPr>
        <w:t>item</w:t>
      </w:r>
      <w:r w:rsidR="002E0C15" w:rsidRPr="00281428">
        <w:rPr>
          <w:spacing w:val="-7"/>
          <w:sz w:val="20"/>
          <w:szCs w:val="20"/>
        </w:rPr>
        <w:t xml:space="preserve"> </w:t>
      </w:r>
      <w:r w:rsidR="002E0C15" w:rsidRPr="00281428">
        <w:rPr>
          <w:sz w:val="20"/>
          <w:szCs w:val="20"/>
        </w:rPr>
        <w:t>as</w:t>
      </w:r>
      <w:r w:rsidR="002E0C15" w:rsidRPr="00281428">
        <w:rPr>
          <w:spacing w:val="-10"/>
          <w:sz w:val="20"/>
          <w:szCs w:val="20"/>
        </w:rPr>
        <w:t xml:space="preserve"> </w:t>
      </w:r>
      <w:r w:rsidR="002E0C15" w:rsidRPr="00281428">
        <w:rPr>
          <w:sz w:val="20"/>
          <w:szCs w:val="20"/>
        </w:rPr>
        <w:t>it</w:t>
      </w:r>
      <w:r w:rsidR="002E0C15" w:rsidRPr="00281428">
        <w:rPr>
          <w:spacing w:val="-10"/>
          <w:sz w:val="20"/>
          <w:szCs w:val="20"/>
        </w:rPr>
        <w:t xml:space="preserve"> </w:t>
      </w:r>
      <w:r w:rsidR="002E0C15" w:rsidRPr="00281428">
        <w:rPr>
          <w:sz w:val="20"/>
          <w:szCs w:val="20"/>
        </w:rPr>
        <w:t>relates</w:t>
      </w:r>
      <w:r w:rsidR="002E0C15" w:rsidRPr="00281428">
        <w:rPr>
          <w:spacing w:val="-9"/>
          <w:sz w:val="20"/>
          <w:szCs w:val="20"/>
        </w:rPr>
        <w:t xml:space="preserve"> </w:t>
      </w:r>
      <w:r w:rsidR="002E0C15" w:rsidRPr="00281428">
        <w:rPr>
          <w:sz w:val="20"/>
          <w:szCs w:val="20"/>
        </w:rPr>
        <w:t>to</w:t>
      </w:r>
      <w:r w:rsidR="002E0C15" w:rsidRPr="00281428">
        <w:rPr>
          <w:spacing w:val="-8"/>
          <w:sz w:val="20"/>
          <w:szCs w:val="20"/>
        </w:rPr>
        <w:t xml:space="preserve"> </w:t>
      </w:r>
      <w:r w:rsidR="002E0C15" w:rsidRPr="00281428">
        <w:rPr>
          <w:sz w:val="20"/>
          <w:szCs w:val="20"/>
        </w:rPr>
        <w:t>requiring</w:t>
      </w:r>
      <w:r w:rsidR="002E0C15" w:rsidRPr="00281428">
        <w:rPr>
          <w:spacing w:val="-10"/>
          <w:sz w:val="20"/>
          <w:szCs w:val="20"/>
        </w:rPr>
        <w:t xml:space="preserve"> </w:t>
      </w:r>
      <w:r w:rsidR="002E0C15" w:rsidRPr="00281428">
        <w:rPr>
          <w:sz w:val="20"/>
          <w:szCs w:val="20"/>
        </w:rPr>
        <w:t>temperature</w:t>
      </w:r>
      <w:r w:rsidR="002E0C15" w:rsidRPr="00281428">
        <w:rPr>
          <w:spacing w:val="-8"/>
          <w:sz w:val="20"/>
          <w:szCs w:val="20"/>
        </w:rPr>
        <w:t xml:space="preserve"> </w:t>
      </w:r>
      <w:r w:rsidR="002E0C15" w:rsidRPr="00281428">
        <w:rPr>
          <w:sz w:val="20"/>
          <w:szCs w:val="20"/>
        </w:rPr>
        <w:t>compensation</w:t>
      </w:r>
      <w:r w:rsidR="002E0C15" w:rsidRPr="00281428">
        <w:rPr>
          <w:spacing w:val="-8"/>
          <w:sz w:val="20"/>
          <w:szCs w:val="20"/>
        </w:rPr>
        <w:t xml:space="preserve"> </w:t>
      </w:r>
      <w:r w:rsidR="002E0C15" w:rsidRPr="00281428">
        <w:rPr>
          <w:sz w:val="20"/>
          <w:szCs w:val="20"/>
        </w:rPr>
        <w:t>on</w:t>
      </w:r>
      <w:r w:rsidR="002E0C15" w:rsidRPr="00281428">
        <w:rPr>
          <w:spacing w:val="-10"/>
          <w:sz w:val="20"/>
          <w:szCs w:val="20"/>
        </w:rPr>
        <w:t xml:space="preserve"> </w:t>
      </w:r>
      <w:r w:rsidR="002E0C15" w:rsidRPr="00281428">
        <w:rPr>
          <w:sz w:val="20"/>
          <w:szCs w:val="20"/>
        </w:rPr>
        <w:t>all</w:t>
      </w:r>
      <w:r w:rsidR="002E0C15" w:rsidRPr="00281428">
        <w:rPr>
          <w:spacing w:val="-9"/>
          <w:sz w:val="20"/>
          <w:szCs w:val="20"/>
        </w:rPr>
        <w:t xml:space="preserve"> </w:t>
      </w:r>
      <w:r w:rsidR="002E0C15" w:rsidRPr="00281428">
        <w:rPr>
          <w:sz w:val="20"/>
          <w:szCs w:val="20"/>
        </w:rPr>
        <w:t>meters.</w:t>
      </w:r>
      <w:r w:rsidR="002E0C15" w:rsidRPr="00281428">
        <w:rPr>
          <w:spacing w:val="42"/>
          <w:sz w:val="20"/>
          <w:szCs w:val="20"/>
        </w:rPr>
        <w:t xml:space="preserve"> </w:t>
      </w:r>
      <w:r w:rsidR="00E36CAC" w:rsidRPr="00281428">
        <w:rPr>
          <w:spacing w:val="42"/>
          <w:sz w:val="20"/>
          <w:szCs w:val="20"/>
        </w:rPr>
        <w:t xml:space="preserve"> </w:t>
      </w:r>
      <w:r w:rsidR="002E0C15" w:rsidRPr="00281428">
        <w:rPr>
          <w:sz w:val="20"/>
          <w:szCs w:val="20"/>
        </w:rPr>
        <w:t>The Committee believes that the item is fully vetted in terms of its technical content and therefore recommends it become a Voting</w:t>
      </w:r>
      <w:r w:rsidR="002E0C15" w:rsidRPr="00281428">
        <w:rPr>
          <w:spacing w:val="1"/>
          <w:sz w:val="20"/>
          <w:szCs w:val="20"/>
        </w:rPr>
        <w:t xml:space="preserve"> </w:t>
      </w:r>
      <w:r w:rsidR="002E0C15" w:rsidRPr="00281428">
        <w:rPr>
          <w:sz w:val="20"/>
          <w:szCs w:val="20"/>
        </w:rPr>
        <w:t>item.</w:t>
      </w:r>
    </w:p>
    <w:p w14:paraId="334DB2F8" w14:textId="0E270417" w:rsidR="002E0C15" w:rsidRPr="00281428" w:rsidRDefault="002E0C15" w:rsidP="00D335B6">
      <w:pPr>
        <w:pStyle w:val="TableParagraph"/>
        <w:spacing w:after="240"/>
        <w:ind w:left="0" w:right="105"/>
        <w:jc w:val="both"/>
        <w:rPr>
          <w:sz w:val="20"/>
          <w:szCs w:val="20"/>
        </w:rPr>
      </w:pPr>
      <w:r w:rsidRPr="00281428">
        <w:rPr>
          <w:sz w:val="20"/>
          <w:szCs w:val="20"/>
        </w:rPr>
        <w:t>During the Committee’s work session, Ms. Warfield indicated that metric terms are not included in the language and suggests that they be included as highlighted below.</w:t>
      </w:r>
    </w:p>
    <w:p w14:paraId="06AA3F89" w14:textId="3293CA2B" w:rsidR="003B1A9B" w:rsidRPr="00281428" w:rsidRDefault="002E0C15" w:rsidP="00FF4509">
      <w:pPr>
        <w:pStyle w:val="TableParagraph"/>
        <w:spacing w:after="240"/>
        <w:ind w:left="360" w:right="86"/>
        <w:jc w:val="both"/>
        <w:rPr>
          <w:szCs w:val="20"/>
        </w:rPr>
      </w:pPr>
      <w:r w:rsidRPr="00281428">
        <w:rPr>
          <w:b/>
          <w:szCs w:val="20"/>
        </w:rPr>
        <w:t>2</w:t>
      </w:r>
      <w:r w:rsidRPr="00281428">
        <w:rPr>
          <w:b/>
          <w:sz w:val="20"/>
          <w:szCs w:val="20"/>
        </w:rPr>
        <w:t xml:space="preserve">.21. Liquefied Petroleum Gas. </w:t>
      </w:r>
      <w:r w:rsidRPr="00281428">
        <w:rPr>
          <w:sz w:val="20"/>
          <w:szCs w:val="20"/>
        </w:rPr>
        <w:t>– All liquefied petroleum gas, including, but not limited to propane, butane, and mixtures thereof, shall be kept, offered, exposed for sale, or sold by the</w:t>
      </w:r>
      <w:r w:rsidR="002D409F" w:rsidRPr="00281428">
        <w:rPr>
          <w:sz w:val="20"/>
          <w:szCs w:val="20"/>
        </w:rPr>
        <w:t xml:space="preserve"> (kilogram)</w:t>
      </w:r>
      <w:r w:rsidRPr="00281428">
        <w:rPr>
          <w:sz w:val="20"/>
          <w:szCs w:val="20"/>
        </w:rPr>
        <w:t xml:space="preserve"> pound, </w:t>
      </w:r>
      <w:r w:rsidR="002D409F" w:rsidRPr="00281428">
        <w:rPr>
          <w:sz w:val="20"/>
          <w:szCs w:val="20"/>
        </w:rPr>
        <w:t xml:space="preserve">(cubic meter) </w:t>
      </w:r>
      <w:r w:rsidRPr="00281428">
        <w:rPr>
          <w:sz w:val="20"/>
          <w:szCs w:val="20"/>
        </w:rPr>
        <w:t>metered cubic</w:t>
      </w:r>
      <w:r w:rsidRPr="00281428">
        <w:rPr>
          <w:spacing w:val="-3"/>
          <w:sz w:val="20"/>
          <w:szCs w:val="20"/>
        </w:rPr>
        <w:t xml:space="preserve"> </w:t>
      </w:r>
      <w:r w:rsidRPr="00281428">
        <w:rPr>
          <w:sz w:val="20"/>
          <w:szCs w:val="20"/>
        </w:rPr>
        <w:t>foot</w:t>
      </w:r>
      <w:r w:rsidRPr="00281428">
        <w:rPr>
          <w:spacing w:val="-4"/>
          <w:sz w:val="20"/>
          <w:szCs w:val="20"/>
        </w:rPr>
        <w:t xml:space="preserve"> </w:t>
      </w:r>
      <w:r w:rsidRPr="00281428">
        <w:rPr>
          <w:sz w:val="20"/>
          <w:szCs w:val="20"/>
          <w:vertAlign w:val="superscript"/>
        </w:rPr>
        <w:t>[</w:t>
      </w:r>
      <w:r w:rsidRPr="00281428">
        <w:rPr>
          <w:b/>
          <w:i/>
          <w:sz w:val="20"/>
          <w:szCs w:val="20"/>
          <w:vertAlign w:val="superscript"/>
        </w:rPr>
        <w:t>NOTE</w:t>
      </w:r>
      <w:r w:rsidRPr="00281428">
        <w:rPr>
          <w:b/>
          <w:i/>
          <w:spacing w:val="-20"/>
          <w:sz w:val="20"/>
          <w:szCs w:val="20"/>
        </w:rPr>
        <w:t xml:space="preserve"> </w:t>
      </w:r>
      <w:r w:rsidRPr="00281428">
        <w:rPr>
          <w:b/>
          <w:i/>
          <w:sz w:val="20"/>
          <w:szCs w:val="20"/>
          <w:vertAlign w:val="superscript"/>
        </w:rPr>
        <w:t>7</w:t>
      </w:r>
      <w:r w:rsidRPr="00281428">
        <w:rPr>
          <w:sz w:val="20"/>
          <w:szCs w:val="20"/>
          <w:vertAlign w:val="superscript"/>
        </w:rPr>
        <w:t>,</w:t>
      </w:r>
      <w:r w:rsidRPr="00281428">
        <w:rPr>
          <w:spacing w:val="-19"/>
          <w:sz w:val="20"/>
          <w:szCs w:val="20"/>
        </w:rPr>
        <w:t xml:space="preserve"> </w:t>
      </w:r>
      <w:r w:rsidRPr="00281428">
        <w:rPr>
          <w:sz w:val="20"/>
          <w:szCs w:val="20"/>
          <w:vertAlign w:val="superscript"/>
        </w:rPr>
        <w:t>page</w:t>
      </w:r>
      <w:r w:rsidRPr="00281428">
        <w:rPr>
          <w:spacing w:val="-19"/>
          <w:sz w:val="20"/>
          <w:szCs w:val="20"/>
        </w:rPr>
        <w:t xml:space="preserve"> </w:t>
      </w:r>
      <w:r w:rsidRPr="00281428">
        <w:rPr>
          <w:sz w:val="20"/>
          <w:szCs w:val="20"/>
          <w:vertAlign w:val="superscript"/>
        </w:rPr>
        <w:t>132]</w:t>
      </w:r>
      <w:r w:rsidRPr="00281428">
        <w:rPr>
          <w:spacing w:val="-3"/>
          <w:sz w:val="20"/>
          <w:szCs w:val="20"/>
        </w:rPr>
        <w:t xml:space="preserve"> </w:t>
      </w:r>
      <w:r w:rsidRPr="00281428">
        <w:rPr>
          <w:sz w:val="20"/>
          <w:szCs w:val="20"/>
        </w:rPr>
        <w:t>of</w:t>
      </w:r>
      <w:r w:rsidRPr="00281428">
        <w:rPr>
          <w:spacing w:val="-3"/>
          <w:sz w:val="20"/>
          <w:szCs w:val="20"/>
        </w:rPr>
        <w:t xml:space="preserve"> </w:t>
      </w:r>
      <w:r w:rsidRPr="00281428">
        <w:rPr>
          <w:sz w:val="20"/>
          <w:szCs w:val="20"/>
        </w:rPr>
        <w:t>vapor</w:t>
      </w:r>
      <w:r w:rsidRPr="00281428">
        <w:rPr>
          <w:spacing w:val="-3"/>
          <w:sz w:val="20"/>
          <w:szCs w:val="20"/>
        </w:rPr>
        <w:t xml:space="preserve"> </w:t>
      </w:r>
      <w:r w:rsidRPr="00281428">
        <w:rPr>
          <w:sz w:val="20"/>
          <w:szCs w:val="20"/>
        </w:rPr>
        <w:t>(defined</w:t>
      </w:r>
      <w:r w:rsidRPr="00281428">
        <w:rPr>
          <w:spacing w:val="-2"/>
          <w:sz w:val="20"/>
          <w:szCs w:val="20"/>
        </w:rPr>
        <w:t xml:space="preserve"> </w:t>
      </w:r>
      <w:r w:rsidRPr="00281428">
        <w:rPr>
          <w:sz w:val="20"/>
          <w:szCs w:val="20"/>
        </w:rPr>
        <w:t>as</w:t>
      </w:r>
      <w:r w:rsidRPr="00281428">
        <w:rPr>
          <w:spacing w:val="-4"/>
          <w:sz w:val="20"/>
          <w:szCs w:val="20"/>
        </w:rPr>
        <w:t xml:space="preserve"> </w:t>
      </w:r>
      <w:r w:rsidRPr="00281428">
        <w:rPr>
          <w:sz w:val="20"/>
          <w:szCs w:val="20"/>
        </w:rPr>
        <w:t>1</w:t>
      </w:r>
      <w:r w:rsidRPr="00281428">
        <w:rPr>
          <w:spacing w:val="-2"/>
          <w:sz w:val="20"/>
          <w:szCs w:val="20"/>
        </w:rPr>
        <w:t xml:space="preserve"> </w:t>
      </w:r>
      <w:r w:rsidRPr="00281428">
        <w:rPr>
          <w:sz w:val="20"/>
          <w:szCs w:val="20"/>
        </w:rPr>
        <w:t>ft</w:t>
      </w:r>
      <w:r w:rsidRPr="00281428">
        <w:rPr>
          <w:sz w:val="20"/>
          <w:szCs w:val="20"/>
          <w:vertAlign w:val="superscript"/>
        </w:rPr>
        <w:t>3</w:t>
      </w:r>
      <w:r w:rsidRPr="00281428">
        <w:rPr>
          <w:spacing w:val="-3"/>
          <w:sz w:val="20"/>
          <w:szCs w:val="20"/>
        </w:rPr>
        <w:t xml:space="preserve"> </w:t>
      </w:r>
      <w:r w:rsidRPr="00281428">
        <w:rPr>
          <w:sz w:val="20"/>
          <w:szCs w:val="20"/>
        </w:rPr>
        <w:t>at</w:t>
      </w:r>
      <w:r w:rsidRPr="00281428">
        <w:rPr>
          <w:spacing w:val="-3"/>
          <w:sz w:val="20"/>
          <w:szCs w:val="20"/>
        </w:rPr>
        <w:t xml:space="preserve"> </w:t>
      </w:r>
      <w:r w:rsidRPr="00281428">
        <w:rPr>
          <w:sz w:val="20"/>
          <w:szCs w:val="20"/>
        </w:rPr>
        <w:t>60</w:t>
      </w:r>
      <w:r w:rsidRPr="00281428">
        <w:rPr>
          <w:spacing w:val="-2"/>
          <w:sz w:val="20"/>
          <w:szCs w:val="20"/>
        </w:rPr>
        <w:t xml:space="preserve"> </w:t>
      </w:r>
      <w:r w:rsidRPr="00281428">
        <w:rPr>
          <w:sz w:val="20"/>
          <w:szCs w:val="20"/>
        </w:rPr>
        <w:t>°F</w:t>
      </w:r>
      <w:r w:rsidRPr="00281428">
        <w:rPr>
          <w:spacing w:val="-4"/>
          <w:sz w:val="20"/>
          <w:szCs w:val="20"/>
        </w:rPr>
        <w:t xml:space="preserve"> </w:t>
      </w:r>
      <w:r w:rsidRPr="00281428">
        <w:rPr>
          <w:sz w:val="20"/>
          <w:szCs w:val="20"/>
        </w:rPr>
        <w:t>[15.6</w:t>
      </w:r>
      <w:r w:rsidRPr="00281428">
        <w:rPr>
          <w:spacing w:val="-2"/>
          <w:sz w:val="20"/>
          <w:szCs w:val="20"/>
        </w:rPr>
        <w:t xml:space="preserve"> </w:t>
      </w:r>
      <w:r w:rsidRPr="00281428">
        <w:rPr>
          <w:sz w:val="20"/>
          <w:szCs w:val="20"/>
        </w:rPr>
        <w:t>°C]),</w:t>
      </w:r>
      <w:r w:rsidRPr="00281428">
        <w:rPr>
          <w:spacing w:val="-3"/>
          <w:sz w:val="20"/>
          <w:szCs w:val="20"/>
        </w:rPr>
        <w:t xml:space="preserve"> </w:t>
      </w:r>
      <w:r w:rsidRPr="00281428">
        <w:rPr>
          <w:sz w:val="20"/>
          <w:szCs w:val="20"/>
        </w:rPr>
        <w:t>or</w:t>
      </w:r>
      <w:r w:rsidRPr="00281428">
        <w:rPr>
          <w:spacing w:val="-2"/>
          <w:sz w:val="20"/>
          <w:szCs w:val="20"/>
        </w:rPr>
        <w:t xml:space="preserve"> </w:t>
      </w:r>
      <w:r w:rsidRPr="00281428">
        <w:rPr>
          <w:sz w:val="20"/>
          <w:szCs w:val="20"/>
        </w:rPr>
        <w:t>the</w:t>
      </w:r>
      <w:r w:rsidRPr="00281428">
        <w:rPr>
          <w:spacing w:val="-3"/>
          <w:sz w:val="20"/>
          <w:szCs w:val="20"/>
        </w:rPr>
        <w:t xml:space="preserve"> </w:t>
      </w:r>
      <w:r w:rsidR="002D409F" w:rsidRPr="00281428">
        <w:rPr>
          <w:spacing w:val="-3"/>
          <w:sz w:val="20"/>
          <w:szCs w:val="20"/>
        </w:rPr>
        <w:t xml:space="preserve">(liter) </w:t>
      </w:r>
      <w:r w:rsidRPr="00281428">
        <w:rPr>
          <w:spacing w:val="-3"/>
          <w:sz w:val="20"/>
          <w:szCs w:val="20"/>
        </w:rPr>
        <w:t xml:space="preserve"> </w:t>
      </w:r>
      <w:r w:rsidRPr="00281428">
        <w:rPr>
          <w:sz w:val="20"/>
          <w:szCs w:val="20"/>
        </w:rPr>
        <w:t>gallon</w:t>
      </w:r>
      <w:r w:rsidRPr="00281428">
        <w:rPr>
          <w:spacing w:val="-2"/>
          <w:sz w:val="20"/>
          <w:szCs w:val="20"/>
        </w:rPr>
        <w:t xml:space="preserve"> </w:t>
      </w:r>
      <w:r w:rsidRPr="00281428">
        <w:rPr>
          <w:sz w:val="20"/>
          <w:szCs w:val="20"/>
        </w:rPr>
        <w:t>(defined</w:t>
      </w:r>
      <w:r w:rsidRPr="00281428">
        <w:rPr>
          <w:spacing w:val="-2"/>
          <w:sz w:val="20"/>
          <w:szCs w:val="20"/>
        </w:rPr>
        <w:t xml:space="preserve"> </w:t>
      </w:r>
      <w:r w:rsidRPr="00281428">
        <w:rPr>
          <w:sz w:val="20"/>
          <w:szCs w:val="20"/>
        </w:rPr>
        <w:t>as</w:t>
      </w:r>
      <w:r w:rsidRPr="00281428">
        <w:rPr>
          <w:spacing w:val="-4"/>
          <w:sz w:val="20"/>
          <w:szCs w:val="20"/>
        </w:rPr>
        <w:t xml:space="preserve"> </w:t>
      </w:r>
      <w:r w:rsidRPr="00281428">
        <w:rPr>
          <w:sz w:val="20"/>
          <w:szCs w:val="20"/>
        </w:rPr>
        <w:t>231</w:t>
      </w:r>
      <w:r w:rsidRPr="00281428">
        <w:rPr>
          <w:spacing w:val="-2"/>
          <w:sz w:val="20"/>
          <w:szCs w:val="20"/>
        </w:rPr>
        <w:t xml:space="preserve"> </w:t>
      </w:r>
      <w:r w:rsidRPr="00281428">
        <w:rPr>
          <w:sz w:val="20"/>
          <w:szCs w:val="20"/>
        </w:rPr>
        <w:t>in</w:t>
      </w:r>
      <w:r w:rsidRPr="00281428">
        <w:rPr>
          <w:sz w:val="20"/>
          <w:szCs w:val="20"/>
          <w:vertAlign w:val="superscript"/>
        </w:rPr>
        <w:t>3</w:t>
      </w:r>
      <w:r w:rsidRPr="00281428">
        <w:rPr>
          <w:spacing w:val="-3"/>
          <w:sz w:val="20"/>
          <w:szCs w:val="20"/>
        </w:rPr>
        <w:t xml:space="preserve"> </w:t>
      </w:r>
      <w:r w:rsidRPr="00281428">
        <w:rPr>
          <w:sz w:val="20"/>
          <w:szCs w:val="20"/>
        </w:rPr>
        <w:t>at</w:t>
      </w:r>
      <w:r w:rsidRPr="00281428">
        <w:rPr>
          <w:spacing w:val="-3"/>
          <w:sz w:val="20"/>
          <w:szCs w:val="20"/>
        </w:rPr>
        <w:t xml:space="preserve"> </w:t>
      </w:r>
      <w:r w:rsidRPr="00281428">
        <w:rPr>
          <w:sz w:val="20"/>
          <w:szCs w:val="20"/>
        </w:rPr>
        <w:t>60</w:t>
      </w:r>
      <w:r w:rsidR="00013593" w:rsidRPr="00281428">
        <w:rPr>
          <w:sz w:val="20"/>
          <w:szCs w:val="20"/>
        </w:rPr>
        <w:t xml:space="preserve"> </w:t>
      </w:r>
      <w:r w:rsidRPr="00281428">
        <w:rPr>
          <w:sz w:val="20"/>
          <w:szCs w:val="20"/>
        </w:rPr>
        <w:t xml:space="preserve">°F [15.6 °C]). </w:t>
      </w:r>
      <w:r w:rsidRPr="00281428">
        <w:rPr>
          <w:b/>
          <w:strike/>
          <w:sz w:val="20"/>
          <w:szCs w:val="20"/>
        </w:rPr>
        <w:t>All metered sales by the gallon, except those using meters with a maximum rated capacity of</w:t>
      </w:r>
      <w:r w:rsidRPr="00281428">
        <w:rPr>
          <w:b/>
          <w:sz w:val="20"/>
          <w:szCs w:val="20"/>
        </w:rPr>
        <w:t xml:space="preserve"> </w:t>
      </w:r>
      <w:r w:rsidRPr="00281428">
        <w:rPr>
          <w:b/>
          <w:strike/>
          <w:sz w:val="20"/>
          <w:szCs w:val="20"/>
        </w:rPr>
        <w:t>20 gal/min or less, shall be accomplished by use of a meter and device that automatically compensates for</w:t>
      </w:r>
      <w:r w:rsidRPr="00281428">
        <w:rPr>
          <w:b/>
          <w:sz w:val="20"/>
          <w:szCs w:val="20"/>
        </w:rPr>
        <w:t xml:space="preserve"> </w:t>
      </w:r>
      <w:r w:rsidRPr="00281428">
        <w:rPr>
          <w:b/>
          <w:strike/>
          <w:sz w:val="20"/>
          <w:szCs w:val="20"/>
        </w:rPr>
        <w:t>temperature</w:t>
      </w:r>
      <w:r w:rsidR="003B1A9B" w:rsidRPr="00281428">
        <w:rPr>
          <w:sz w:val="20"/>
          <w:szCs w:val="20"/>
        </w:rPr>
        <w:t>.</w:t>
      </w:r>
    </w:p>
    <w:p w14:paraId="1895DDD6" w14:textId="413FEA38" w:rsidR="006D4BCB" w:rsidRPr="00281428" w:rsidRDefault="003B1A9B" w:rsidP="003B1A9B">
      <w:pPr>
        <w:rPr>
          <w:szCs w:val="20"/>
        </w:rPr>
      </w:pPr>
      <w:bookmarkStart w:id="77" w:name="_Hlk65594201"/>
      <w:r w:rsidRPr="00281428">
        <w:rPr>
          <w:szCs w:val="20"/>
        </w:rPr>
        <w:t xml:space="preserve">Additional letters, presentation and data may have been submitted for consideration with this item.  Please refer to </w:t>
      </w:r>
      <w:hyperlink r:id="rId21" w:history="1">
        <w:r w:rsidR="003B739A" w:rsidRPr="00A766AF">
          <w:rPr>
            <w:rStyle w:val="Hyperlink"/>
            <w:noProof w:val="0"/>
            <w:color w:val="0000FF"/>
          </w:rPr>
          <w:t>https://www.ncwm.com/publication-16</w:t>
        </w:r>
      </w:hyperlink>
      <w:r w:rsidRPr="00281428">
        <w:rPr>
          <w:szCs w:val="20"/>
        </w:rPr>
        <w:t xml:space="preserve"> to review these documents</w:t>
      </w:r>
      <w:r w:rsidR="006D4BCB" w:rsidRPr="00281428">
        <w:rPr>
          <w:szCs w:val="20"/>
        </w:rPr>
        <w:t>.</w:t>
      </w:r>
      <w:bookmarkEnd w:id="73"/>
    </w:p>
    <w:p w14:paraId="608673C3" w14:textId="623C0BE2" w:rsidR="00D62CDC" w:rsidRPr="00281428" w:rsidRDefault="00D62CDC" w:rsidP="008F3950">
      <w:pPr>
        <w:pStyle w:val="Heading1"/>
        <w:keepNext w:val="0"/>
        <w:keepLines w:val="0"/>
      </w:pPr>
      <w:bookmarkStart w:id="78" w:name="_Toc65741440"/>
      <w:bookmarkEnd w:id="74"/>
      <w:bookmarkEnd w:id="77"/>
      <w:r w:rsidRPr="00281428">
        <w:t xml:space="preserve">FLR - UNIFORM </w:t>
      </w:r>
      <w:r w:rsidR="005F3E1E" w:rsidRPr="00281428">
        <w:t xml:space="preserve">fuels and automotive lubricants </w:t>
      </w:r>
      <w:r w:rsidRPr="00281428">
        <w:t>REGULATION</w:t>
      </w:r>
      <w:bookmarkEnd w:id="78"/>
    </w:p>
    <w:p w14:paraId="7A8F441D" w14:textId="1FF0DDC0" w:rsidR="0041012A" w:rsidRPr="00281428" w:rsidRDefault="0041012A">
      <w:pPr>
        <w:pStyle w:val="ItemHeading"/>
        <w:keepNext w:val="0"/>
        <w:keepLines w:val="0"/>
        <w:tabs>
          <w:tab w:val="clear" w:pos="900"/>
          <w:tab w:val="left" w:pos="1260"/>
        </w:tabs>
        <w:spacing w:before="480"/>
        <w:ind w:left="1800" w:hanging="1800"/>
        <w:jc w:val="both"/>
        <w:rPr>
          <w:u w:val="single"/>
        </w:rPr>
      </w:pPr>
      <w:bookmarkStart w:id="79" w:name="_Hlk31794288"/>
      <w:bookmarkStart w:id="80" w:name="_Toc61611610"/>
      <w:bookmarkStart w:id="81" w:name="_Toc65741441"/>
      <w:r w:rsidRPr="00281428">
        <w:t>FLR-20.5</w:t>
      </w:r>
      <w:r w:rsidRPr="00281428">
        <w:tab/>
      </w:r>
      <w:r w:rsidR="00704B2E" w:rsidRPr="00281428">
        <w:t>V</w:t>
      </w:r>
      <w:r w:rsidRPr="00281428">
        <w:tab/>
        <w:t>Section 2.1.2.(a).  Gasoline-Ethanol Blends</w:t>
      </w:r>
      <w:bookmarkEnd w:id="79"/>
      <w:r w:rsidRPr="00281428">
        <w:t>.</w:t>
      </w:r>
      <w:bookmarkEnd w:id="80"/>
      <w:bookmarkEnd w:id="81"/>
    </w:p>
    <w:p w14:paraId="11FEF0BB" w14:textId="0DEFB87C" w:rsidR="00704B2E" w:rsidRPr="00281428" w:rsidRDefault="00704B2E" w:rsidP="002D409F">
      <w:pPr>
        <w:pStyle w:val="BodyText"/>
        <w:rPr>
          <w:b/>
          <w:szCs w:val="20"/>
        </w:rPr>
      </w:pPr>
      <w:r w:rsidRPr="00281428">
        <w:rPr>
          <w:b/>
          <w:szCs w:val="20"/>
        </w:rPr>
        <w:t>(This item appeared as part of Block 4 as FLR-20.2 within NCWM Publication15 (2020) Interim Agenda.  Part of the original “Item Under Consideration” was not moved forward as a Voting item and now appears in Block 4 of this Agenda.)</w:t>
      </w:r>
    </w:p>
    <w:p w14:paraId="3E92A7DB" w14:textId="77777777" w:rsidR="0041012A" w:rsidRPr="00281428" w:rsidRDefault="0041012A">
      <w:pPr>
        <w:pStyle w:val="BodyText"/>
        <w:spacing w:after="0"/>
        <w:rPr>
          <w:b/>
          <w:szCs w:val="20"/>
        </w:rPr>
      </w:pPr>
      <w:r w:rsidRPr="00281428">
        <w:rPr>
          <w:b/>
          <w:szCs w:val="20"/>
        </w:rPr>
        <w:t xml:space="preserve">Source:  </w:t>
      </w:r>
    </w:p>
    <w:p w14:paraId="1B3E423F" w14:textId="77777777" w:rsidR="0041012A" w:rsidRPr="00281428" w:rsidRDefault="0041012A">
      <w:pPr>
        <w:pStyle w:val="BodyText"/>
        <w:rPr>
          <w:b/>
          <w:szCs w:val="20"/>
        </w:rPr>
      </w:pPr>
      <w:r w:rsidRPr="00281428">
        <w:rPr>
          <w:szCs w:val="20"/>
        </w:rPr>
        <w:t>American Petroleum Institute (API)</w:t>
      </w:r>
    </w:p>
    <w:p w14:paraId="3E801B84" w14:textId="77777777" w:rsidR="0041012A" w:rsidRPr="00281428" w:rsidRDefault="0041012A" w:rsidP="008F3950">
      <w:pPr>
        <w:pStyle w:val="BoldHeading"/>
        <w:rPr>
          <w:b w:val="0"/>
          <w:szCs w:val="20"/>
        </w:rPr>
      </w:pPr>
      <w:r w:rsidRPr="00281428">
        <w:rPr>
          <w:szCs w:val="20"/>
        </w:rPr>
        <w:lastRenderedPageBreak/>
        <w:t>Purpose:</w:t>
      </w:r>
    </w:p>
    <w:p w14:paraId="53AC6C5F" w14:textId="1C5DFBAC" w:rsidR="0041012A" w:rsidRPr="00281428" w:rsidRDefault="0041012A" w:rsidP="008F3950">
      <w:pPr>
        <w:rPr>
          <w:szCs w:val="20"/>
        </w:rPr>
      </w:pPr>
      <w:r w:rsidRPr="00281428">
        <w:rPr>
          <w:szCs w:val="20"/>
        </w:rPr>
        <w:t>More comprehensively align Handbook 130</w:t>
      </w:r>
      <w:r w:rsidR="00725E7A">
        <w:rPr>
          <w:szCs w:val="20"/>
        </w:rPr>
        <w:t>,</w:t>
      </w:r>
      <w:r w:rsidRPr="00281428">
        <w:rPr>
          <w:szCs w:val="20"/>
        </w:rPr>
        <w:t xml:space="preserve"> Uniform Fuels and Automotive Lubricants Regulations</w:t>
      </w:r>
      <w:r w:rsidR="00725E7A">
        <w:rPr>
          <w:szCs w:val="20"/>
        </w:rPr>
        <w:t>,</w:t>
      </w:r>
      <w:r w:rsidRPr="00281428">
        <w:rPr>
          <w:szCs w:val="20"/>
        </w:rPr>
        <w:t xml:space="preserve"> with the U.S. EPA’s rule that grants a 1-psi vapor pressure waiver to E15 for summertime (June 1 to September 15) and to help ensure consumers receive a consistent E15 blend. </w:t>
      </w:r>
      <w:r w:rsidR="00520EA9">
        <w:rPr>
          <w:szCs w:val="20"/>
        </w:rPr>
        <w:t xml:space="preserve"> </w:t>
      </w:r>
      <w:r w:rsidRPr="00281428">
        <w:rPr>
          <w:szCs w:val="20"/>
        </w:rPr>
        <w:t>The proposed changes to HB 130 reflect the important information that an inspector will need to ensure that E15 is properly blended and that the potential harm to the consumer and the environment will be minimized.</w:t>
      </w:r>
      <w:r w:rsidRPr="00281428" w:rsidDel="00B96C37">
        <w:rPr>
          <w:szCs w:val="20"/>
        </w:rPr>
        <w:t xml:space="preserve"> </w:t>
      </w:r>
    </w:p>
    <w:p w14:paraId="18C6550D" w14:textId="77777777" w:rsidR="0041012A" w:rsidRPr="00281428" w:rsidRDefault="0041012A" w:rsidP="008F3950">
      <w:pPr>
        <w:pStyle w:val="BoldHeading"/>
        <w:rPr>
          <w:szCs w:val="20"/>
        </w:rPr>
      </w:pPr>
      <w:bookmarkStart w:id="82" w:name="_Hlk31706958"/>
      <w:r w:rsidRPr="00281428">
        <w:rPr>
          <w:szCs w:val="20"/>
        </w:rPr>
        <w:t>Item Under Consideration:</w:t>
      </w:r>
    </w:p>
    <w:p w14:paraId="0BB993B7" w14:textId="5C8CA596" w:rsidR="0041012A" w:rsidRPr="00281428" w:rsidRDefault="0041012A" w:rsidP="008F3950">
      <w:pPr>
        <w:rPr>
          <w:szCs w:val="20"/>
        </w:rPr>
      </w:pPr>
      <w:r w:rsidRPr="00281428">
        <w:rPr>
          <w:szCs w:val="20"/>
        </w:rPr>
        <w:t>Amend Handbook 130, Uniform Fuels and Automotive Lubricants Regulation as follows:</w:t>
      </w:r>
    </w:p>
    <w:p w14:paraId="69648B99" w14:textId="77777777" w:rsidR="0041012A" w:rsidRPr="00281428" w:rsidRDefault="0041012A" w:rsidP="008F3950">
      <w:pPr>
        <w:tabs>
          <w:tab w:val="left" w:pos="360"/>
          <w:tab w:val="left" w:pos="540"/>
        </w:tabs>
        <w:autoSpaceDE w:val="0"/>
        <w:autoSpaceDN w:val="0"/>
        <w:adjustRightInd w:val="0"/>
        <w:rPr>
          <w:rFonts w:ascii="TimesNewRomanPS-BoldMT" w:hAnsi="TimesNewRomanPS-BoldMT" w:cs="TimesNewRomanPS-BoldMT"/>
          <w:b/>
          <w:bCs/>
          <w:szCs w:val="20"/>
        </w:rPr>
      </w:pPr>
      <w:r w:rsidRPr="00281428">
        <w:rPr>
          <w:rFonts w:ascii="TimesNewRomanPS-BoldMT" w:hAnsi="TimesNewRomanPS-BoldMT" w:cs="TimesNewRomanPS-BoldMT"/>
          <w:b/>
          <w:bCs/>
          <w:szCs w:val="20"/>
        </w:rPr>
        <w:t>2.1.  Gasoline and Gasoline-Oxygenate Blends</w:t>
      </w:r>
    </w:p>
    <w:p w14:paraId="514C6EA8" w14:textId="77777777" w:rsidR="0041012A" w:rsidRPr="00281428" w:rsidRDefault="0041012A" w:rsidP="008F3950">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2.1.1.  Gasoline and Gasoline-Oxygenate Blends </w:t>
      </w:r>
      <w:r w:rsidRPr="00281428">
        <w:rPr>
          <w:rFonts w:ascii="TimesNewRomanPSMT" w:hAnsi="TimesNewRomanPSMT" w:cs="TimesNewRomanPSMT"/>
          <w:szCs w:val="20"/>
        </w:rPr>
        <w:t>(as defined in this regulation)</w:t>
      </w:r>
      <w:r w:rsidRPr="00281428">
        <w:rPr>
          <w:rFonts w:ascii="TimesNewRomanPS-BoldMT" w:hAnsi="TimesNewRomanPS-BoldMT" w:cs="TimesNewRomanPS-BoldMT"/>
          <w:b/>
          <w:bCs/>
          <w:szCs w:val="20"/>
        </w:rPr>
        <w:t xml:space="preserve">. </w:t>
      </w:r>
      <w:r w:rsidRPr="00281428">
        <w:rPr>
          <w:rFonts w:ascii="TimesNewRomanPSMT" w:hAnsi="TimesNewRomanPSMT" w:cs="TimesNewRomanPSMT"/>
          <w:szCs w:val="20"/>
        </w:rPr>
        <w:t>– Shall meet the latest version of ASTM D4814, “Standard Specification for Automotive Spark-Ignition Engine Fuel” except for the permissible offsets for ethanol blends as provided in Section 2.1.2. Gasoline-Ethanol Blends.</w:t>
      </w:r>
    </w:p>
    <w:p w14:paraId="7C3E0974" w14:textId="77777777" w:rsidR="0041012A" w:rsidRPr="00281428" w:rsidRDefault="0041012A" w:rsidP="008F3950">
      <w:pPr>
        <w:autoSpaceDE w:val="0"/>
        <w:autoSpaceDN w:val="0"/>
        <w:adjustRightInd w:val="0"/>
        <w:spacing w:after="0"/>
        <w:ind w:left="1080" w:hanging="360"/>
        <w:rPr>
          <w:rFonts w:ascii="TimesNewRomanPSMT" w:hAnsi="TimesNewRomanPSMT" w:cs="TimesNewRomanPSMT"/>
          <w:szCs w:val="20"/>
        </w:rPr>
      </w:pPr>
      <w:r w:rsidRPr="00281428">
        <w:rPr>
          <w:rFonts w:ascii="TimesNewRomanPSMT" w:hAnsi="TimesNewRomanPSMT" w:cs="TimesNewRomanPSMT"/>
          <w:szCs w:val="20"/>
        </w:rPr>
        <w:t>(a)</w:t>
      </w:r>
      <w:r w:rsidRPr="00281428">
        <w:rPr>
          <w:rFonts w:ascii="TimesNewRomanPSMT" w:hAnsi="TimesNewRomanPSMT" w:cs="TimesNewRomanPSMT"/>
          <w:szCs w:val="20"/>
        </w:rPr>
        <w:tab/>
        <w:t xml:space="preserve">The maximum concentration of oxygenates contained in gasoline-oxygenate blends shall not exceed those permitted by the EPA under Section 211 of the Clean Air Act and applicable waivers. </w:t>
      </w:r>
    </w:p>
    <w:p w14:paraId="72FDB2F4" w14:textId="77777777" w:rsidR="0041012A" w:rsidRPr="00281428" w:rsidRDefault="0041012A" w:rsidP="008F3950">
      <w:pPr>
        <w:spacing w:before="60"/>
        <w:ind w:left="360"/>
      </w:pPr>
      <w:r w:rsidRPr="00281428">
        <w:rPr>
          <w:rFonts w:ascii="TimesNewRomanPSMT" w:hAnsi="TimesNewRomanPSMT" w:cs="TimesNewRomanPSMT"/>
          <w:szCs w:val="20"/>
        </w:rPr>
        <w:t>(Added 2009) (Amended 2018)</w:t>
      </w:r>
      <w:r w:rsidRPr="00281428">
        <w:t xml:space="preserve">  </w:t>
      </w:r>
    </w:p>
    <w:p w14:paraId="09C738C0" w14:textId="77777777" w:rsidR="0041012A" w:rsidRPr="00281428" w:rsidRDefault="0041012A" w:rsidP="008F3950">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2.1.2. Gasoline-Ethanol Blends. – </w:t>
      </w:r>
      <w:r w:rsidRPr="00281428">
        <w:rPr>
          <w:rFonts w:ascii="TimesNewRomanPSMT" w:hAnsi="TimesNewRomanPSMT" w:cs="TimesNewRomanPSMT"/>
          <w:szCs w:val="20"/>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3AD8C5D6" w14:textId="6BDA0F3D" w:rsidR="0041012A" w:rsidRPr="00281428" w:rsidRDefault="0041012A" w:rsidP="00123E2B">
      <w:pPr>
        <w:tabs>
          <w:tab w:val="left" w:pos="1080"/>
        </w:tabs>
        <w:autoSpaceDE w:val="0"/>
        <w:autoSpaceDN w:val="0"/>
        <w:adjustRightInd w:val="0"/>
        <w:spacing w:after="60"/>
        <w:ind w:left="1080" w:hanging="360"/>
        <w:rPr>
          <w:rFonts w:ascii="TimesNewRomanPSMT" w:hAnsi="TimesNewRomanPSMT" w:cs="TimesNewRomanPSMT"/>
          <w:szCs w:val="20"/>
        </w:rPr>
      </w:pPr>
      <w:r w:rsidRPr="00281428">
        <w:rPr>
          <w:rFonts w:ascii="TimesNewRomanPSMT" w:hAnsi="TimesNewRomanPSMT" w:cs="TimesNewRomanPSMT"/>
          <w:szCs w:val="20"/>
        </w:rPr>
        <w:t>(a)</w:t>
      </w:r>
      <w:r w:rsidRPr="00281428">
        <w:rPr>
          <w:rFonts w:ascii="TimesNewRomanPSMT" w:hAnsi="TimesNewRomanPSMT" w:cs="TimesNewRomanPSMT"/>
          <w:szCs w:val="20"/>
        </w:rPr>
        <w:tab/>
        <w:t xml:space="preserve">The maximum vapor pressure shall not exceed the latest edition of ASTM D4814, “Standard Specification for Automotive Spark-Ignition Engine Fuel,” limits by more than 1.0 psi for blends </w:t>
      </w:r>
      <w:r w:rsidRPr="00281428">
        <w:rPr>
          <w:rFonts w:ascii="TimesNewRomanPSMT" w:hAnsi="TimesNewRomanPSMT" w:cs="TimesNewRomanPSMT"/>
          <w:b/>
          <w:szCs w:val="20"/>
          <w:u w:val="single"/>
        </w:rPr>
        <w:t>containing at least 9 and not more than 15 volume percent ethanol</w:t>
      </w:r>
      <w:r w:rsidRPr="00281428">
        <w:rPr>
          <w:rFonts w:ascii="TimesNewRomanPSMT" w:hAnsi="TimesNewRomanPSMT" w:cs="TimesNewRomanPSMT"/>
          <w:szCs w:val="20"/>
        </w:rPr>
        <w:t xml:space="preserve"> from June 1 through September 15 as allowed by EPA per 40 CFR 80.27(d).</w:t>
      </w:r>
    </w:p>
    <w:p w14:paraId="292A8367" w14:textId="77777777" w:rsidR="0041012A" w:rsidRPr="00281428" w:rsidRDefault="0041012A" w:rsidP="002F0196">
      <w:pPr>
        <w:spacing w:before="60"/>
        <w:ind w:left="720"/>
        <w:rPr>
          <w:rFonts w:ascii="TimesNewRomanPSMT" w:hAnsi="TimesNewRomanPSMT" w:cs="TimesNewRomanPSMT"/>
          <w:szCs w:val="20"/>
        </w:rPr>
      </w:pPr>
      <w:r w:rsidRPr="00281428">
        <w:rPr>
          <w:rFonts w:ascii="TimesNewRomanPSMT" w:hAnsi="TimesNewRomanPSMT" w:cs="TimesNewRomanPSMT"/>
          <w:szCs w:val="20"/>
        </w:rPr>
        <w:t>(Amended 2016</w:t>
      </w:r>
      <w:r w:rsidRPr="00281428">
        <w:rPr>
          <w:rFonts w:ascii="TimesNewRomanPSMT" w:hAnsi="TimesNewRomanPSMT" w:cs="TimesNewRomanPSMT"/>
          <w:b/>
          <w:szCs w:val="20"/>
          <w:u w:val="single"/>
        </w:rPr>
        <w:t>,</w:t>
      </w:r>
      <w:r w:rsidRPr="00281428">
        <w:rPr>
          <w:rFonts w:ascii="TimesNewRomanPSMT" w:hAnsi="TimesNewRomanPSMT" w:cs="TimesNewRomanPSMT"/>
          <w:b/>
          <w:strike/>
          <w:szCs w:val="20"/>
        </w:rPr>
        <w:t xml:space="preserve"> and</w:t>
      </w:r>
      <w:r w:rsidRPr="00281428">
        <w:rPr>
          <w:rFonts w:ascii="TimesNewRomanPSMT" w:hAnsi="TimesNewRomanPSMT" w:cs="TimesNewRomanPSMT"/>
          <w:szCs w:val="20"/>
        </w:rPr>
        <w:t xml:space="preserve"> 2018,2019 </w:t>
      </w:r>
      <w:r w:rsidRPr="00281428">
        <w:rPr>
          <w:rFonts w:ascii="TimesNewRomanPSMT" w:hAnsi="TimesNewRomanPSMT" w:cs="TimesNewRomanPSMT"/>
          <w:b/>
          <w:szCs w:val="20"/>
          <w:u w:val="single"/>
        </w:rPr>
        <w:t>and 20XX</w:t>
      </w:r>
      <w:r w:rsidRPr="00281428">
        <w:rPr>
          <w:rFonts w:ascii="TimesNewRomanPSMT" w:hAnsi="TimesNewRomanPSMT" w:cs="TimesNewRomanPSMT"/>
          <w:szCs w:val="20"/>
        </w:rPr>
        <w:t>)</w:t>
      </w:r>
    </w:p>
    <w:p w14:paraId="5EFFC608" w14:textId="77777777" w:rsidR="0041012A" w:rsidRPr="00281428" w:rsidRDefault="0041012A" w:rsidP="002F0196">
      <w:pPr>
        <w:spacing w:after="0"/>
        <w:ind w:left="360"/>
        <w:rPr>
          <w:rFonts w:ascii="TimesNewRomanPSMT" w:hAnsi="TimesNewRomanPSMT" w:cs="TimesNewRomanPSMT"/>
          <w:i/>
          <w:iCs/>
          <w:szCs w:val="20"/>
        </w:rPr>
      </w:pPr>
      <w:r w:rsidRPr="00281428">
        <w:rPr>
          <w:rFonts w:ascii="TimesNewRomanPSMT" w:hAnsi="TimesNewRomanPSMT" w:cs="TimesNewRomanPSMT"/>
          <w:b/>
          <w:bCs/>
          <w:i/>
          <w:iCs/>
          <w:szCs w:val="20"/>
        </w:rPr>
        <w:t>NOTE 1:</w:t>
      </w:r>
      <w:r w:rsidRPr="00281428">
        <w:rPr>
          <w:rFonts w:ascii="TimesNewRomanPSMT" w:hAnsi="TimesNewRomanPSMT" w:cs="TimesNewRomanPSMT"/>
          <w:i/>
          <w:iCs/>
          <w:szCs w:val="20"/>
        </w:rPr>
        <w:t xml:space="preserve"> The values shown above appear only in U.S. customary units to ensure that the values are identical to those in ASTM standards and the Environmental Protection Agency regulation.</w:t>
      </w:r>
    </w:p>
    <w:p w14:paraId="155D02EA" w14:textId="77777777" w:rsidR="0041012A" w:rsidRPr="00281428" w:rsidRDefault="0041012A" w:rsidP="002F0196">
      <w:pPr>
        <w:autoSpaceDE w:val="0"/>
        <w:autoSpaceDN w:val="0"/>
        <w:adjustRightInd w:val="0"/>
        <w:ind w:left="360"/>
        <w:rPr>
          <w:rFonts w:ascii="TimesNewRomanPSMT" w:hAnsi="TimesNewRomanPSMT" w:cs="TimesNewRomanPSMT"/>
          <w:szCs w:val="20"/>
        </w:rPr>
      </w:pPr>
      <w:r w:rsidRPr="00281428">
        <w:rPr>
          <w:rFonts w:ascii="TimesNewRomanPSMT" w:hAnsi="TimesNewRomanPSMT" w:cs="TimesNewRomanPSMT"/>
          <w:szCs w:val="20"/>
        </w:rPr>
        <w:t>(Added 2009) (Amended 2012 and 2016)</w:t>
      </w:r>
    </w:p>
    <w:bookmarkEnd w:id="82"/>
    <w:p w14:paraId="2C4594F7" w14:textId="77777777" w:rsidR="0041012A" w:rsidRPr="00281428" w:rsidRDefault="0041012A" w:rsidP="00FC49B1">
      <w:pPr>
        <w:spacing w:after="0"/>
        <w:rPr>
          <w:b/>
          <w:bCs/>
          <w:szCs w:val="20"/>
        </w:rPr>
      </w:pPr>
      <w:r w:rsidRPr="00281428">
        <w:rPr>
          <w:b/>
          <w:bCs/>
          <w:szCs w:val="20"/>
        </w:rPr>
        <w:t xml:space="preserve">Background/Discussion:  </w:t>
      </w:r>
    </w:p>
    <w:p w14:paraId="047085ED" w14:textId="47F99AF3" w:rsidR="0041012A" w:rsidRPr="00281428" w:rsidRDefault="0041012A" w:rsidP="00FC49B1">
      <w:pPr>
        <w:spacing w:before="40"/>
        <w:rPr>
          <w:szCs w:val="20"/>
        </w:rPr>
      </w:pPr>
      <w:r w:rsidRPr="00281428">
        <w:rPr>
          <w:szCs w:val="20"/>
        </w:rPr>
        <w:t xml:space="preserve">Aligning Handbook 130 with the important parts of the U.S. EPA rule that grants a 1-psi vapor pressure waiver during the summer months for E15 is important to ensure that E15 has the correct vapor pressure during these months and provides comprehensive information to aid in ensuring compliant E15 gasoline is provided to consumers. FLR Sections 2.1.2. and 1.23. are modified to address these issues. </w:t>
      </w:r>
    </w:p>
    <w:p w14:paraId="6BCE7F6E" w14:textId="77777777" w:rsidR="0041012A" w:rsidRPr="00281428" w:rsidRDefault="0041012A" w:rsidP="009D59D1">
      <w:pPr>
        <w:spacing w:before="40"/>
        <w:rPr>
          <w:szCs w:val="20"/>
        </w:rPr>
      </w:pPr>
      <w:r w:rsidRPr="00281428">
        <w:rPr>
          <w:b/>
          <w:bCs/>
          <w:szCs w:val="20"/>
        </w:rPr>
        <w:t>Amendments to FLR paragraph 2.1.2.(a),</w:t>
      </w:r>
      <w:r w:rsidRPr="00281428">
        <w:rPr>
          <w:szCs w:val="20"/>
        </w:rPr>
        <w:t xml:space="preserve"> specify that the range of ethanol in the gasoline-ethanol blends qualifying for the 1-psi waiver shall only be from 9 to 15 volume percent as per 40 CFR 80.27(d). The change is unambiguous and does not require the inspector to access the federal rule to understand the applicable range of the waiver.  </w:t>
      </w:r>
    </w:p>
    <w:p w14:paraId="6BFB90D9" w14:textId="77777777" w:rsidR="0041012A" w:rsidRPr="00281428" w:rsidRDefault="0041012A" w:rsidP="002F0196">
      <w:pPr>
        <w:spacing w:before="40"/>
        <w:rPr>
          <w:b/>
          <w:szCs w:val="20"/>
        </w:rPr>
      </w:pPr>
      <w:r w:rsidRPr="00281428">
        <w:rPr>
          <w:b/>
          <w:szCs w:val="20"/>
        </w:rPr>
        <w:t>EPA Final rule, “</w:t>
      </w:r>
      <w:r w:rsidRPr="00281428">
        <w:rPr>
          <w:szCs w:val="20"/>
        </w:rPr>
        <w:t xml:space="preserve">Modifications to Fuel Regulations </w:t>
      </w:r>
      <w:proofErr w:type="gramStart"/>
      <w:r w:rsidRPr="00281428">
        <w:rPr>
          <w:szCs w:val="20"/>
        </w:rPr>
        <w:t>To</w:t>
      </w:r>
      <w:proofErr w:type="gramEnd"/>
      <w:r w:rsidRPr="00281428">
        <w:rPr>
          <w:szCs w:val="20"/>
        </w:rPr>
        <w:t xml:space="preserve"> Provide Flexibility for E15; Modifications to RFS RIN Market Regulations” June 10, 2019</w:t>
      </w:r>
      <w:r w:rsidRPr="00281428">
        <w:t xml:space="preserve">, </w:t>
      </w:r>
      <w:hyperlink r:id="rId22" w:history="1">
        <w:r w:rsidRPr="00821EFB">
          <w:rPr>
            <w:noProof/>
            <w:color w:val="0000FF"/>
            <w:szCs w:val="20"/>
            <w:u w:val="single"/>
          </w:rPr>
          <w:t>www.govinfo.gov/content/pkg/FR-2019-06-10/pdf/2019-11653.pdf</w:t>
        </w:r>
      </w:hyperlink>
    </w:p>
    <w:p w14:paraId="2CF0D8A2" w14:textId="77777777" w:rsidR="0041012A" w:rsidRPr="00281428" w:rsidRDefault="0041012A" w:rsidP="0041012A">
      <w:pPr>
        <w:ind w:left="259"/>
        <w:rPr>
          <w:bCs/>
          <w:szCs w:val="20"/>
        </w:rPr>
      </w:pPr>
      <w:r w:rsidRPr="00281428">
        <w:rPr>
          <w:bCs/>
          <w:szCs w:val="20"/>
        </w:rPr>
        <w:t>U.S. EPA “Modifications to Fuel Regulations to Provide Flexibility for E15; Modifications to RFS RIN Market Regulations: Response to Comments.” June 10, 2019. Added in total with an example provided below.</w:t>
      </w:r>
    </w:p>
    <w:p w14:paraId="2EB385CF" w14:textId="77777777" w:rsidR="0041012A" w:rsidRPr="002C32AC" w:rsidRDefault="0057723E" w:rsidP="002C32AC">
      <w:pPr>
        <w:pStyle w:val="NoSpacing"/>
        <w:spacing w:before="120" w:after="120"/>
        <w:ind w:left="259"/>
        <w:rPr>
          <w:rFonts w:ascii="Times New Roman" w:hAnsi="Times New Roman"/>
          <w:color w:val="0000FF"/>
          <w:sz w:val="20"/>
          <w:szCs w:val="18"/>
          <w:u w:val="single"/>
        </w:rPr>
      </w:pPr>
      <w:hyperlink r:id="rId23" w:history="1">
        <w:r w:rsidR="0041012A" w:rsidRPr="002C32AC">
          <w:rPr>
            <w:rFonts w:ascii="Times New Roman" w:hAnsi="Times New Roman"/>
            <w:noProof/>
            <w:color w:val="0000FF"/>
            <w:sz w:val="20"/>
            <w:szCs w:val="18"/>
            <w:u w:val="single"/>
          </w:rPr>
          <w:t>www.regulations.gov/document?D=EPA-HQ-OAR-2018-0775-1174</w:t>
        </w:r>
      </w:hyperlink>
      <w:r w:rsidR="0041012A" w:rsidRPr="002C32AC">
        <w:rPr>
          <w:rFonts w:ascii="Times New Roman" w:hAnsi="Times New Roman"/>
          <w:color w:val="0000FF"/>
          <w:sz w:val="20"/>
          <w:szCs w:val="18"/>
          <w:u w:val="single"/>
        </w:rPr>
        <w:t xml:space="preserve"> </w:t>
      </w:r>
    </w:p>
    <w:p w14:paraId="38213090" w14:textId="77777777" w:rsidR="0041012A" w:rsidRPr="00281428" w:rsidRDefault="0041012A" w:rsidP="0041012A">
      <w:pPr>
        <w:spacing w:before="40"/>
        <w:ind w:left="720"/>
        <w:rPr>
          <w:bCs/>
          <w:szCs w:val="20"/>
        </w:rPr>
      </w:pPr>
      <w:r w:rsidRPr="00281428">
        <w:rPr>
          <w:bCs/>
          <w:szCs w:val="20"/>
        </w:rPr>
        <w:lastRenderedPageBreak/>
        <w:t xml:space="preserve">p. 53 (Response to comments) E15 </w:t>
      </w:r>
      <w:proofErr w:type="gramStart"/>
      <w:r w:rsidRPr="00281428">
        <w:rPr>
          <w:bCs/>
          <w:szCs w:val="20"/>
        </w:rPr>
        <w:t>is allowed to</w:t>
      </w:r>
      <w:proofErr w:type="gramEnd"/>
      <w:r w:rsidRPr="00281428">
        <w:rPr>
          <w:bCs/>
          <w:szCs w:val="20"/>
        </w:rPr>
        <w:t xml:space="preserve"> be blended at blender pumps as long </w:t>
      </w:r>
      <w:r w:rsidRPr="00281428">
        <w:rPr>
          <w:b/>
          <w:szCs w:val="20"/>
        </w:rPr>
        <w:t>as only certified components</w:t>
      </w:r>
      <w:r w:rsidRPr="00281428">
        <w:rPr>
          <w:bCs/>
          <w:szCs w:val="20"/>
        </w:rPr>
        <w:t xml:space="preserve"> are used (sic) Cases where blender pumps introduce uncertified components into gasoline continue to be illegal and may result in fuel that exceeds gasoline quality standards. Parties that blend uncertified components into previously certified gasoline are considered fuel manufacturers under the regulations at 40 CFR part 79 and refiners under 40 CFR part 80. [emphasis added]</w:t>
      </w:r>
    </w:p>
    <w:p w14:paraId="6C50E066" w14:textId="77777777" w:rsidR="0041012A" w:rsidRPr="00281428" w:rsidRDefault="0041012A" w:rsidP="0041012A">
      <w:pPr>
        <w:spacing w:before="40"/>
        <w:rPr>
          <w:szCs w:val="20"/>
        </w:rPr>
      </w:pPr>
      <w:r w:rsidRPr="00281428">
        <w:rPr>
          <w:szCs w:val="20"/>
        </w:rPr>
        <w:t>The following quotes from the U.S. EPA proposal provide additional information:</w:t>
      </w:r>
    </w:p>
    <w:p w14:paraId="75BD8BF5" w14:textId="77777777" w:rsidR="0041012A" w:rsidRPr="00281428" w:rsidRDefault="0041012A" w:rsidP="0041012A">
      <w:pPr>
        <w:numPr>
          <w:ilvl w:val="0"/>
          <w:numId w:val="45"/>
        </w:numPr>
        <w:spacing w:before="40"/>
        <w:ind w:left="360" w:firstLine="0"/>
        <w:rPr>
          <w:szCs w:val="20"/>
        </w:rPr>
      </w:pPr>
      <w:r w:rsidRPr="00281428">
        <w:rPr>
          <w:szCs w:val="20"/>
        </w:rPr>
        <w:t xml:space="preserve">EPA provided the following comments in its final rule on the recent E15 1-psi waiver related to Section G, </w:t>
      </w:r>
      <w:r w:rsidRPr="00281428">
        <w:rPr>
          <w:szCs w:val="20"/>
        </w:rPr>
        <w:tab/>
        <w:t>2.1.2. and 1.23.:</w:t>
      </w:r>
    </w:p>
    <w:p w14:paraId="03AF2D38" w14:textId="77777777" w:rsidR="0041012A" w:rsidRPr="00281428" w:rsidRDefault="0041012A" w:rsidP="0041012A">
      <w:pPr>
        <w:numPr>
          <w:ilvl w:val="1"/>
          <w:numId w:val="45"/>
        </w:numPr>
        <w:spacing w:before="40"/>
        <w:ind w:left="1080"/>
        <w:rPr>
          <w:szCs w:val="20"/>
        </w:rPr>
      </w:pPr>
      <w:bookmarkStart w:id="83" w:name="_Hlk16600705"/>
      <w:r w:rsidRPr="00281428">
        <w:rPr>
          <w:szCs w:val="20"/>
        </w:rPr>
        <w:t>“[U.S. EPA] note that for E15 produced at blender pumps using E85 made with natural gas liquids,</w:t>
      </w:r>
      <w:r w:rsidRPr="00281428">
        <w:rPr>
          <w:b/>
          <w:bCs/>
          <w:szCs w:val="20"/>
        </w:rPr>
        <w:t xml:space="preserve"> use of the deemed to comply provision to demonstrate compliance would not be available.</w:t>
      </w:r>
      <w:r w:rsidRPr="00281428">
        <w:rPr>
          <w:szCs w:val="20"/>
        </w:rPr>
        <w:t xml:space="preserve"> This is because the RVP of natural gas liquids can be as high as 15.0 psi and even a small amount of natural gas liquids could cause the gasoline portion of the blend to not comply with the applicable RVP limitations established under CAA sec. 211(h), which is required under CAA sec. 211(h)(4)(A) to be deemed in compliance. Parties that make E15 at a blender pump using </w:t>
      </w:r>
      <w:r w:rsidRPr="00281428">
        <w:rPr>
          <w:b/>
          <w:bCs/>
          <w:szCs w:val="20"/>
        </w:rPr>
        <w:t>E85 made with previously certified gasoline can take advantage of the ‘deemed to comply’ provision</w:t>
      </w:r>
      <w:r w:rsidRPr="00281428">
        <w:rPr>
          <w:szCs w:val="20"/>
        </w:rPr>
        <w:t xml:space="preserve"> and associated affirmative defense at 40 CFR 80.28 if all applicable requirements in 80.28 are met.” (84 FR 27008)</w:t>
      </w:r>
      <w:bookmarkEnd w:id="83"/>
    </w:p>
    <w:p w14:paraId="72667084" w14:textId="77777777" w:rsidR="0041012A" w:rsidRPr="00281428" w:rsidRDefault="0041012A" w:rsidP="0041012A">
      <w:pPr>
        <w:numPr>
          <w:ilvl w:val="1"/>
          <w:numId w:val="45"/>
        </w:numPr>
        <w:spacing w:before="40"/>
        <w:ind w:left="1080"/>
        <w:rPr>
          <w:szCs w:val="20"/>
        </w:rPr>
      </w:pPr>
      <w:r w:rsidRPr="00281428">
        <w:rPr>
          <w:szCs w:val="20"/>
        </w:rPr>
        <w:t xml:space="preserve"> (emphasis added)</w:t>
      </w:r>
    </w:p>
    <w:p w14:paraId="5EF77A7A" w14:textId="77777777" w:rsidR="0041012A" w:rsidRPr="00281428" w:rsidRDefault="0041012A" w:rsidP="0041012A">
      <w:pPr>
        <w:numPr>
          <w:ilvl w:val="0"/>
          <w:numId w:val="45"/>
        </w:numPr>
        <w:spacing w:before="40"/>
        <w:rPr>
          <w:szCs w:val="20"/>
        </w:rPr>
      </w:pPr>
      <w:r w:rsidRPr="00281428">
        <w:rPr>
          <w:szCs w:val="20"/>
        </w:rPr>
        <w:t>“As discussed in the [U.S. EPA] proposal, E15 made at blender pumps is often made with certified E10 (or CBOB) and E85 (made with denatured fuel ethanol and uncertified hydrocarbon blendstocks, i.e., natural gas liquids). While data is limited, we believe that approximately 50 percent of stations offering E15 make E15 in this manner. (84 FR 27010)</w:t>
      </w:r>
    </w:p>
    <w:p w14:paraId="57228458" w14:textId="77777777" w:rsidR="0041012A" w:rsidRPr="00281428" w:rsidRDefault="0041012A" w:rsidP="0041012A">
      <w:pPr>
        <w:numPr>
          <w:ilvl w:val="0"/>
          <w:numId w:val="45"/>
        </w:numPr>
        <w:rPr>
          <w:szCs w:val="20"/>
        </w:rPr>
      </w:pPr>
      <w:r w:rsidRPr="00281428">
        <w:rPr>
          <w:b/>
          <w:bCs/>
          <w:szCs w:val="20"/>
        </w:rPr>
        <w:t>40 CFR 80.27(d)</w:t>
      </w:r>
      <w:r w:rsidRPr="00281428">
        <w:rPr>
          <w:szCs w:val="20"/>
        </w:rPr>
        <w:t xml:space="preserve"> </w:t>
      </w:r>
      <w:r w:rsidRPr="00281428">
        <w:rPr>
          <w:i/>
          <w:iCs/>
          <w:szCs w:val="20"/>
        </w:rPr>
        <w:t>Special provisions for alcohol blends.</w:t>
      </w:r>
      <w:r w:rsidRPr="00281428">
        <w:rPr>
          <w:szCs w:val="20"/>
        </w:rPr>
        <w:t xml:space="preserve"> </w:t>
      </w:r>
    </w:p>
    <w:p w14:paraId="623BFEA1" w14:textId="77777777" w:rsidR="0041012A" w:rsidRPr="00281428" w:rsidRDefault="0041012A" w:rsidP="0041012A">
      <w:pPr>
        <w:ind w:left="720"/>
        <w:rPr>
          <w:szCs w:val="20"/>
        </w:rPr>
      </w:pPr>
      <w:r w:rsidRPr="00281428">
        <w:rPr>
          <w:szCs w:val="20"/>
        </w:rPr>
        <w:t>(1) Any gasoline which meets the requirements of paragraph (d)(2) of this section shall not be in violation of this section if its Reid vapor pressure does not exceed the applicable standard in paragraph (a) of this section by more than one pound per square inch (1.0 psi).</w:t>
      </w:r>
    </w:p>
    <w:p w14:paraId="32A45E73" w14:textId="77777777" w:rsidR="0041012A" w:rsidRPr="00281428" w:rsidRDefault="0041012A" w:rsidP="0041012A">
      <w:pPr>
        <w:ind w:left="720"/>
        <w:rPr>
          <w:szCs w:val="20"/>
        </w:rPr>
      </w:pPr>
      <w:r w:rsidRPr="00281428">
        <w:rPr>
          <w:szCs w:val="20"/>
        </w:rPr>
        <w:t xml:space="preserve">(2) In order to qualify for the special regulatory treatment specified in paragraph (d)(1) of this section, gasoline must contain denatured, anhydrous ethanol. </w:t>
      </w:r>
      <w:r w:rsidRPr="00281428">
        <w:rPr>
          <w:b/>
          <w:bCs/>
          <w:szCs w:val="20"/>
        </w:rPr>
        <w:t>The concentration of the ethanol, excluding the required denaturing agent, must be at least 9% and no more than 15% (by volume) of the gasoline.</w:t>
      </w:r>
      <w:r w:rsidRPr="00281428">
        <w:rPr>
          <w:szCs w:val="20"/>
        </w:rPr>
        <w:t xml:space="preserve"> The ethanol content of the gasoline shall be determined </w:t>
      </w:r>
      <w:proofErr w:type="gramStart"/>
      <w:r w:rsidRPr="00281428">
        <w:rPr>
          <w:szCs w:val="20"/>
        </w:rPr>
        <w:t>by the use of</w:t>
      </w:r>
      <w:proofErr w:type="gramEnd"/>
      <w:r w:rsidRPr="00281428">
        <w:rPr>
          <w:szCs w:val="20"/>
        </w:rPr>
        <w:t xml:space="preserve"> one of the testing methodologies specified in § 80.47. The maximum ethanol content shall not exceed any applicable waiver conditions under section 211(f) of the Clean Air Act.</w:t>
      </w:r>
    </w:p>
    <w:p w14:paraId="66C83432" w14:textId="77777777" w:rsidR="0041012A" w:rsidRPr="00281428" w:rsidRDefault="0041012A" w:rsidP="0041012A">
      <w:pPr>
        <w:ind w:left="720"/>
        <w:rPr>
          <w:b/>
          <w:bCs/>
          <w:szCs w:val="20"/>
        </w:rPr>
      </w:pPr>
      <w:r w:rsidRPr="00281428">
        <w:rPr>
          <w:szCs w:val="20"/>
        </w:rPr>
        <w:t xml:space="preserve">(3) </w:t>
      </w:r>
      <w:r w:rsidRPr="00281428">
        <w:rPr>
          <w:b/>
          <w:bCs/>
          <w:szCs w:val="20"/>
        </w:rPr>
        <w:t xml:space="preserve">Each invoice, loading ticket, bill of lading, delivery ticket and other document which accompanies a shipment of gasoline containing ethanol shall contain a legible and conspicuous statement that the gasoline being shipped contains ethanol and the percentage concentration of ethanol. </w:t>
      </w:r>
    </w:p>
    <w:p w14:paraId="29875AE0" w14:textId="77777777" w:rsidR="0041012A" w:rsidRPr="00281428" w:rsidRDefault="0041012A" w:rsidP="0041012A">
      <w:pPr>
        <w:jc w:val="right"/>
        <w:rPr>
          <w:b/>
          <w:bCs/>
          <w:szCs w:val="20"/>
        </w:rPr>
      </w:pPr>
      <w:r w:rsidRPr="00281428">
        <w:rPr>
          <w:szCs w:val="20"/>
        </w:rPr>
        <w:t>(emphasis added)</w:t>
      </w:r>
    </w:p>
    <w:p w14:paraId="48B60EC1" w14:textId="77777777" w:rsidR="0041012A" w:rsidRPr="00281428" w:rsidRDefault="0041012A" w:rsidP="0041012A">
      <w:pPr>
        <w:numPr>
          <w:ilvl w:val="0"/>
          <w:numId w:val="45"/>
        </w:numPr>
        <w:rPr>
          <w:szCs w:val="20"/>
        </w:rPr>
      </w:pPr>
      <w:r w:rsidRPr="00281428">
        <w:rPr>
          <w:b/>
          <w:bCs/>
          <w:szCs w:val="20"/>
        </w:rPr>
        <w:t>40 CFR 80.28(g)</w:t>
      </w:r>
      <w:r w:rsidRPr="00281428">
        <w:rPr>
          <w:szCs w:val="20"/>
        </w:rPr>
        <w:t xml:space="preserve"> </w:t>
      </w:r>
      <w:r w:rsidRPr="00281428">
        <w:rPr>
          <w:i/>
          <w:iCs/>
          <w:szCs w:val="20"/>
        </w:rPr>
        <w:t>Defenses.</w:t>
      </w:r>
      <w:r w:rsidRPr="00281428">
        <w:rPr>
          <w:szCs w:val="20"/>
        </w:rPr>
        <w:t xml:space="preserve"> </w:t>
      </w:r>
    </w:p>
    <w:p w14:paraId="0B60D19E" w14:textId="77777777" w:rsidR="0041012A" w:rsidRPr="00281428" w:rsidRDefault="0041012A" w:rsidP="0041012A">
      <w:pPr>
        <w:ind w:left="972"/>
        <w:rPr>
          <w:szCs w:val="20"/>
        </w:rPr>
      </w:pPr>
      <w:r w:rsidRPr="00281428">
        <w:rPr>
          <w:szCs w:val="20"/>
        </w:rPr>
        <w:t xml:space="preserve">(8) In addition to the defenses provided in paragraphs (g)(1) through (6) of this section, in any case in which an ethanol blender, distributor, reseller, carrier, retailer, or wholesale purchaser-consumer would be in violation under paragraph (b), (c), (d), (e), or (f) of this section, as a result of gasoline which contains between 9 and 15 percent ethanol (by volume) but exceeds the applicable standard by more than one pound per square inch (1.0 psi), the ethanol blender, distributor, reseller, carrier, retailer or wholesale purchaser-consumer </w:t>
      </w:r>
      <w:r w:rsidRPr="00281428">
        <w:rPr>
          <w:b/>
          <w:bCs/>
          <w:szCs w:val="20"/>
        </w:rPr>
        <w:t xml:space="preserve">shall not be deemed in violation if such person can demonstrate, by showing </w:t>
      </w:r>
      <w:r w:rsidRPr="00281428">
        <w:rPr>
          <w:b/>
          <w:bCs/>
          <w:szCs w:val="20"/>
        </w:rPr>
        <w:lastRenderedPageBreak/>
        <w:t>receipt of a certification from the facility from which the gasoline was received or other evidence acceptable to the Administrator,</w:t>
      </w:r>
      <w:r w:rsidRPr="00281428">
        <w:rPr>
          <w:szCs w:val="20"/>
        </w:rPr>
        <w:t xml:space="preserve"> that:</w:t>
      </w:r>
    </w:p>
    <w:p w14:paraId="1C564329" w14:textId="77777777" w:rsidR="0041012A" w:rsidRPr="00281428" w:rsidRDefault="0041012A" w:rsidP="0041012A">
      <w:pPr>
        <w:tabs>
          <w:tab w:val="left" w:pos="1620"/>
        </w:tabs>
        <w:ind w:left="1260"/>
        <w:rPr>
          <w:b/>
          <w:bCs/>
          <w:szCs w:val="20"/>
        </w:rPr>
      </w:pPr>
      <w:r w:rsidRPr="00281428">
        <w:rPr>
          <w:b/>
          <w:bCs/>
          <w:szCs w:val="20"/>
        </w:rPr>
        <w:t>(i)</w:t>
      </w:r>
      <w:r w:rsidRPr="00281428">
        <w:rPr>
          <w:b/>
          <w:bCs/>
          <w:szCs w:val="20"/>
        </w:rPr>
        <w:tab/>
        <w:t>The gasoline portion of the blend complies with the Reid vapor pressure limitations of § 80.27(a); and</w:t>
      </w:r>
    </w:p>
    <w:p w14:paraId="345B4E8B" w14:textId="77777777" w:rsidR="0041012A" w:rsidRPr="00281428" w:rsidRDefault="0041012A" w:rsidP="0041012A">
      <w:pPr>
        <w:tabs>
          <w:tab w:val="left" w:pos="1620"/>
        </w:tabs>
        <w:ind w:left="1260"/>
        <w:rPr>
          <w:b/>
          <w:bCs/>
          <w:szCs w:val="20"/>
        </w:rPr>
      </w:pPr>
      <w:r w:rsidRPr="00281428">
        <w:rPr>
          <w:b/>
          <w:bCs/>
          <w:szCs w:val="20"/>
        </w:rPr>
        <w:t>(ii)</w:t>
      </w:r>
      <w:r w:rsidRPr="00281428">
        <w:rPr>
          <w:b/>
          <w:bCs/>
          <w:szCs w:val="20"/>
        </w:rPr>
        <w:tab/>
        <w:t>The ethanol portion of the blend does not exceed 15 percent (by volume); and</w:t>
      </w:r>
    </w:p>
    <w:p w14:paraId="2DE0EB63" w14:textId="77777777" w:rsidR="0041012A" w:rsidRPr="00281428" w:rsidRDefault="0041012A" w:rsidP="0041012A">
      <w:pPr>
        <w:tabs>
          <w:tab w:val="left" w:pos="1620"/>
        </w:tabs>
        <w:ind w:left="1260"/>
        <w:rPr>
          <w:szCs w:val="20"/>
          <w:u w:val="single"/>
        </w:rPr>
      </w:pPr>
      <w:r w:rsidRPr="00281428">
        <w:rPr>
          <w:b/>
          <w:bCs/>
          <w:szCs w:val="20"/>
        </w:rPr>
        <w:t>(iii)</w:t>
      </w:r>
      <w:r w:rsidRPr="00281428">
        <w:rPr>
          <w:b/>
          <w:bCs/>
          <w:szCs w:val="20"/>
        </w:rPr>
        <w:tab/>
        <w:t>No additional alcohol or other additive has been added to increase the Reid vapor pressure of the ethanol portion of the blend.</w:t>
      </w:r>
    </w:p>
    <w:p w14:paraId="28B2F3FB" w14:textId="77777777" w:rsidR="0041012A" w:rsidRPr="00281428" w:rsidRDefault="0041012A" w:rsidP="0041012A">
      <w:pPr>
        <w:ind w:left="979"/>
        <w:rPr>
          <w:szCs w:val="20"/>
        </w:rPr>
      </w:pPr>
      <w:r w:rsidRPr="00281428">
        <w:rPr>
          <w:szCs w:val="20"/>
        </w:rPr>
        <w:t xml:space="preserve">In the case of a violation alleged against an ethanol blender, distributor, reseller, or carrier, if the demonstration required by paragraphs (g)(8)(i), (ii), and (iii) of this section is made by a certification, it must be supported by evidence that the criteria in paragraphs (g)(8)(i), (ii), and (iii) of this section have been met, such as an oversight program conducted by or on behalf of the ethanol blender, distributor, reseller or carrier alleged to be in violation, which includes periodic sampling and testing of the gasoline or monitoring the volatility and ethanol content of the gasoline. Such certification shall be deemed sufficient evidence of compliance provided it is not contradicted by specific evidence, such as testing results, and provided that the party has no other reasonable basis to believe that the facts stated in the certification are inaccurate. </w:t>
      </w:r>
      <w:r w:rsidRPr="00281428">
        <w:rPr>
          <w:b/>
          <w:bCs/>
          <w:szCs w:val="20"/>
        </w:rPr>
        <w:t>In the case of a violation alleged against a retail outlet</w:t>
      </w:r>
      <w:r w:rsidRPr="00281428">
        <w:rPr>
          <w:szCs w:val="20"/>
        </w:rPr>
        <w:t xml:space="preserve"> or wholesale purchaser-consumer facility, </w:t>
      </w:r>
      <w:r w:rsidRPr="00281428">
        <w:rPr>
          <w:b/>
          <w:bCs/>
          <w:szCs w:val="20"/>
        </w:rPr>
        <w:t>such certification shall be deemed an adequate defense for the retailer</w:t>
      </w:r>
      <w:r w:rsidRPr="00281428">
        <w:rPr>
          <w:szCs w:val="20"/>
        </w:rPr>
        <w:t xml:space="preserve"> or wholesale purchaser-consumer, </w:t>
      </w:r>
      <w:r w:rsidRPr="00281428">
        <w:rPr>
          <w:b/>
          <w:bCs/>
          <w:szCs w:val="20"/>
        </w:rPr>
        <w:t>provided that the retailer</w:t>
      </w:r>
      <w:r w:rsidRPr="00281428">
        <w:rPr>
          <w:szCs w:val="20"/>
        </w:rPr>
        <w:t xml:space="preserve"> or wholesale purchaser-consumer </w:t>
      </w:r>
      <w:r w:rsidRPr="00281428">
        <w:rPr>
          <w:b/>
          <w:bCs/>
          <w:szCs w:val="20"/>
        </w:rPr>
        <w:t>is able to show certificates for all of the gasoline contained in the storage tank found in violation,</w:t>
      </w:r>
      <w:r w:rsidRPr="00281428">
        <w:rPr>
          <w:szCs w:val="20"/>
        </w:rPr>
        <w:t xml:space="preserve"> and, provided that the retailer or wholesale purchaser-consumer has no reasonable basis to believe that the facts stated in the certifications are inaccurate.</w:t>
      </w:r>
    </w:p>
    <w:p w14:paraId="7446B4CE" w14:textId="77777777" w:rsidR="0041012A" w:rsidRPr="00281428" w:rsidRDefault="0041012A" w:rsidP="0041012A">
      <w:pPr>
        <w:jc w:val="right"/>
        <w:rPr>
          <w:szCs w:val="20"/>
        </w:rPr>
      </w:pPr>
      <w:r w:rsidRPr="00281428">
        <w:rPr>
          <w:szCs w:val="20"/>
        </w:rPr>
        <w:t>(emphasis added)</w:t>
      </w:r>
    </w:p>
    <w:p w14:paraId="57932DC2" w14:textId="77777777" w:rsidR="0041012A" w:rsidRPr="00281428" w:rsidRDefault="0041012A" w:rsidP="0041012A">
      <w:pPr>
        <w:rPr>
          <w:rFonts w:eastAsiaTheme="minorHAnsi" w:cstheme="minorBidi"/>
          <w:szCs w:val="20"/>
        </w:rPr>
      </w:pPr>
      <w:r w:rsidRPr="00281428">
        <w:rPr>
          <w:rFonts w:eastAsiaTheme="minorHAnsi" w:cstheme="minorBidi"/>
          <w:szCs w:val="20"/>
        </w:rPr>
        <w:t>On January 17, 2020 Mr. Prentiss Searles (API) submitted modified language for Section 2.1.2.(a). Gasoline-Ethanol Blends.  There were over ten letters received in opposition for MOS-20.2. Documentation for Dispenser Labeling Purposes and FLR 20.3. Section 1.23. Ethanol Flex Fuel language.  Many were opposed due to its duplication with the EPA compliance program for this subject</w:t>
      </w:r>
    </w:p>
    <w:p w14:paraId="444F4D1C" w14:textId="260AB3D8" w:rsidR="0041012A" w:rsidRPr="00281428" w:rsidRDefault="0041012A" w:rsidP="0041012A">
      <w:pPr>
        <w:rPr>
          <w:rFonts w:eastAsiaTheme="minorHAnsi" w:cstheme="minorBidi"/>
          <w:szCs w:val="20"/>
        </w:rPr>
      </w:pPr>
      <w:r w:rsidRPr="00A06034">
        <w:rPr>
          <w:rFonts w:eastAsiaTheme="minorHAnsi" w:cstheme="minorBidi"/>
          <w:szCs w:val="20"/>
          <w:u w:val="single"/>
        </w:rPr>
        <w:t xml:space="preserve">NCWM </w:t>
      </w:r>
      <w:r w:rsidR="001377BB">
        <w:rPr>
          <w:rFonts w:eastAsiaTheme="minorHAnsi" w:cstheme="minorBidi"/>
          <w:szCs w:val="20"/>
          <w:u w:val="single"/>
        </w:rPr>
        <w:t xml:space="preserve">2020 </w:t>
      </w:r>
      <w:r w:rsidRPr="00A06034">
        <w:rPr>
          <w:rFonts w:eastAsiaTheme="minorHAnsi" w:cstheme="minorBidi"/>
          <w:szCs w:val="20"/>
          <w:u w:val="single"/>
        </w:rPr>
        <w:t>Interim Meeting</w:t>
      </w:r>
      <w:r w:rsidR="00A06034" w:rsidRPr="00A06034">
        <w:rPr>
          <w:rFonts w:eastAsiaTheme="minorHAnsi" w:cstheme="minorBidi"/>
          <w:szCs w:val="20"/>
          <w:u w:val="single"/>
        </w:rPr>
        <w:t>:</w:t>
      </w:r>
      <w:r w:rsidR="00A06034">
        <w:rPr>
          <w:rFonts w:eastAsiaTheme="minorHAnsi" w:cstheme="minorBidi"/>
          <w:szCs w:val="20"/>
        </w:rPr>
        <w:t xml:space="preserve"> </w:t>
      </w:r>
      <w:r w:rsidRPr="00281428">
        <w:rPr>
          <w:rFonts w:eastAsiaTheme="minorHAnsi" w:cstheme="minorBidi"/>
          <w:szCs w:val="20"/>
        </w:rPr>
        <w:t xml:space="preserve"> Mr. Searles did provide a presentation and requested from the floor that Section 2.1.2.(a) Gasoline-Ethanol Blends be considered as a Voting Item and he volunteered to chair a workgroup to further develop the remaining items.  Many rose in support and opposition of this block of items.  It was addressed by Ms. Warfield (NIST</w:t>
      </w:r>
      <w:r w:rsidR="00817456">
        <w:rPr>
          <w:rFonts w:eastAsiaTheme="minorHAnsi" w:cstheme="minorBidi"/>
          <w:szCs w:val="20"/>
        </w:rPr>
        <w:t xml:space="preserve"> OWM</w:t>
      </w:r>
      <w:r w:rsidRPr="00281428">
        <w:rPr>
          <w:rFonts w:eastAsiaTheme="minorHAnsi" w:cstheme="minorBidi"/>
          <w:szCs w:val="20"/>
        </w:rPr>
        <w:t xml:space="preserve">) that FALS was tasked by the Committee in July 2019 to review the EPA language and its impact on the regulations within the Fuels Regulations within Handbook 130.  </w:t>
      </w:r>
      <w:r w:rsidR="00245E35" w:rsidRPr="00281428">
        <w:rPr>
          <w:rFonts w:eastAsiaTheme="minorHAnsi" w:cstheme="minorBidi"/>
          <w:szCs w:val="20"/>
        </w:rPr>
        <w:t>FALS Chair</w:t>
      </w:r>
      <w:r w:rsidR="0074575F">
        <w:rPr>
          <w:rFonts w:eastAsiaTheme="minorHAnsi" w:cstheme="minorBidi"/>
          <w:szCs w:val="20"/>
        </w:rPr>
        <w:t>,</w:t>
      </w:r>
      <w:r w:rsidR="00245E35" w:rsidRPr="00281428">
        <w:rPr>
          <w:rFonts w:eastAsiaTheme="minorHAnsi" w:cstheme="minorBidi"/>
          <w:szCs w:val="20"/>
        </w:rPr>
        <w:t xml:space="preserve"> </w:t>
      </w:r>
      <w:r w:rsidR="0074575F">
        <w:rPr>
          <w:rFonts w:eastAsiaTheme="minorHAnsi" w:cstheme="minorBidi"/>
          <w:szCs w:val="20"/>
        </w:rPr>
        <w:t xml:space="preserve">Mr. Bill </w:t>
      </w:r>
      <w:r w:rsidRPr="00281428">
        <w:rPr>
          <w:rFonts w:eastAsiaTheme="minorHAnsi" w:cstheme="minorBidi"/>
          <w:szCs w:val="20"/>
        </w:rPr>
        <w:t>Striejewske</w:t>
      </w:r>
      <w:r w:rsidR="0074575F">
        <w:rPr>
          <w:rFonts w:eastAsiaTheme="minorHAnsi" w:cstheme="minorBidi"/>
          <w:szCs w:val="20"/>
        </w:rPr>
        <w:t xml:space="preserve"> (NV)</w:t>
      </w:r>
      <w:r w:rsidRPr="00281428">
        <w:rPr>
          <w:rFonts w:eastAsiaTheme="minorHAnsi" w:cstheme="minorBidi"/>
          <w:szCs w:val="20"/>
        </w:rPr>
        <w:t xml:space="preserve"> remarked that he has created a focus group but needs additional clarification from the Committee on what specifically they should address.   </w:t>
      </w:r>
    </w:p>
    <w:p w14:paraId="314DF8A6" w14:textId="59237AE6" w:rsidR="0041012A" w:rsidRPr="00281428" w:rsidRDefault="0041012A" w:rsidP="0041012A">
      <w:pPr>
        <w:rPr>
          <w:rFonts w:eastAsiaTheme="minorHAnsi" w:cstheme="minorBidi"/>
          <w:szCs w:val="20"/>
        </w:rPr>
      </w:pPr>
      <w:r w:rsidRPr="00281428">
        <w:rPr>
          <w:rFonts w:eastAsiaTheme="minorHAnsi" w:cstheme="minorBidi"/>
          <w:szCs w:val="20"/>
        </w:rPr>
        <w:t xml:space="preserve">During Committee work session they concurred that Section 2.1.2.(a). Gasoline-Ethanol Blends will proceed as a Voting item. </w:t>
      </w:r>
      <w:r w:rsidR="0074575F">
        <w:rPr>
          <w:rFonts w:eastAsiaTheme="minorHAnsi" w:cstheme="minorBidi"/>
          <w:szCs w:val="20"/>
        </w:rPr>
        <w:t xml:space="preserve"> </w:t>
      </w:r>
      <w:r w:rsidRPr="00281428">
        <w:rPr>
          <w:rFonts w:eastAsiaTheme="minorHAnsi" w:cstheme="minorBidi"/>
          <w:szCs w:val="20"/>
        </w:rPr>
        <w:t>All the remaining items will be merged into Block 4 and be assigned to FALS for further development.</w:t>
      </w:r>
    </w:p>
    <w:p w14:paraId="5B8FE634" w14:textId="4179D7A9" w:rsidR="001E784E" w:rsidRPr="00281428" w:rsidRDefault="001E784E" w:rsidP="001E784E">
      <w:pPr>
        <w:rPr>
          <w:szCs w:val="20"/>
        </w:rPr>
      </w:pPr>
      <w:r w:rsidRPr="00A06034">
        <w:rPr>
          <w:szCs w:val="20"/>
          <w:u w:val="single"/>
        </w:rPr>
        <w:t xml:space="preserve">NCWM </w:t>
      </w:r>
      <w:r w:rsidR="00557607">
        <w:rPr>
          <w:szCs w:val="20"/>
          <w:u w:val="single"/>
        </w:rPr>
        <w:t xml:space="preserve">2020 </w:t>
      </w:r>
      <w:r w:rsidRPr="00A06034">
        <w:rPr>
          <w:szCs w:val="20"/>
          <w:u w:val="single"/>
        </w:rPr>
        <w:t>Annual Meeting</w:t>
      </w:r>
      <w:r w:rsidR="00A06034" w:rsidRPr="00A06034">
        <w:rPr>
          <w:szCs w:val="20"/>
          <w:u w:val="single"/>
        </w:rPr>
        <w:t>:</w:t>
      </w:r>
      <w:r w:rsidR="00A06034">
        <w:rPr>
          <w:szCs w:val="20"/>
        </w:rPr>
        <w:t xml:space="preserve">  S</w:t>
      </w:r>
      <w:r w:rsidRPr="00281428">
        <w:rPr>
          <w:szCs w:val="20"/>
        </w:rPr>
        <w:t xml:space="preserve">everal comments were heard both in opposition and supporting the item from both industry and regulators.  Those opposed included </w:t>
      </w:r>
      <w:r w:rsidRPr="00281428">
        <w:t xml:space="preserve">Mr. </w:t>
      </w:r>
      <w:r w:rsidR="00584C79" w:rsidRPr="00281428">
        <w:t xml:space="preserve">Mike </w:t>
      </w:r>
      <w:r w:rsidRPr="00281428">
        <w:t>Harrington (</w:t>
      </w:r>
      <w:r w:rsidR="00EB2203">
        <w:t>IA</w:t>
      </w:r>
      <w:r w:rsidRPr="00281428">
        <w:t xml:space="preserve">), Mr. </w:t>
      </w:r>
      <w:r w:rsidR="00584C79" w:rsidRPr="00281428">
        <w:t xml:space="preserve">Charlie </w:t>
      </w:r>
      <w:r w:rsidRPr="00281428">
        <w:t>Stutesman (</w:t>
      </w:r>
      <w:r w:rsidR="00EB2203">
        <w:t>KS</w:t>
      </w:r>
      <w:r w:rsidRPr="00281428">
        <w:t xml:space="preserve">), Mr. </w:t>
      </w:r>
      <w:r w:rsidR="00584C79" w:rsidRPr="00281428">
        <w:t xml:space="preserve">Jim </w:t>
      </w:r>
      <w:r w:rsidRPr="00281428">
        <w:t>Willis (</w:t>
      </w:r>
      <w:r w:rsidR="00EB2203">
        <w:t>NY</w:t>
      </w:r>
      <w:r w:rsidRPr="00281428">
        <w:t xml:space="preserve">), Mr. </w:t>
      </w:r>
      <w:r w:rsidR="00584C79" w:rsidRPr="00281428">
        <w:t xml:space="preserve">Doug </w:t>
      </w:r>
      <w:r w:rsidRPr="00281428">
        <w:t>Rathbun (</w:t>
      </w:r>
      <w:r w:rsidR="00EB2203">
        <w:t>IL</w:t>
      </w:r>
      <w:r w:rsidRPr="00281428">
        <w:t>), Mr</w:t>
      </w:r>
      <w:r w:rsidR="00584C79" w:rsidRPr="00281428">
        <w:t xml:space="preserve">. Chuck </w:t>
      </w:r>
      <w:r w:rsidRPr="00281428">
        <w:t xml:space="preserve">Corr (Corr Consulting), Mrs. </w:t>
      </w:r>
      <w:r w:rsidR="00584C79" w:rsidRPr="00281428">
        <w:t xml:space="preserve">Kristy </w:t>
      </w:r>
      <w:r w:rsidRPr="00281428">
        <w:t xml:space="preserve">Moore (Growth Energy), and Mr. </w:t>
      </w:r>
      <w:r w:rsidR="00584C79" w:rsidRPr="00281428">
        <w:t xml:space="preserve">Kevin </w:t>
      </w:r>
      <w:r w:rsidRPr="00281428">
        <w:t xml:space="preserve">Adlaf (ADM). </w:t>
      </w:r>
      <w:r w:rsidRPr="00281428">
        <w:rPr>
          <w:szCs w:val="20"/>
        </w:rPr>
        <w:t xml:space="preserve">Those opposed voiced concern over the newly implemented EPA streamlining rules.  Questions were raised if the changes would affect this item or if the item is now necessary? </w:t>
      </w:r>
      <w:r w:rsidR="00584C79" w:rsidRPr="00281428">
        <w:rPr>
          <w:szCs w:val="20"/>
        </w:rPr>
        <w:t xml:space="preserve"> </w:t>
      </w:r>
      <w:r w:rsidRPr="00281428">
        <w:t xml:space="preserve">Other concerns were heard that the language would be moving backwards, that having the percentages listed could cause issues in the future if the EPA changes them again. </w:t>
      </w:r>
      <w:r w:rsidR="00584C79" w:rsidRPr="00281428">
        <w:t xml:space="preserve"> T</w:t>
      </w:r>
      <w:r w:rsidRPr="00281428">
        <w:t xml:space="preserve">he current language is </w:t>
      </w:r>
      <w:r w:rsidR="00584C79" w:rsidRPr="00281428">
        <w:t>effective,</w:t>
      </w:r>
      <w:r w:rsidRPr="00281428">
        <w:t xml:space="preserve"> and this type of work is done in a lab not the field where the requirements could easily be looked up.</w:t>
      </w:r>
      <w:r w:rsidRPr="00281428">
        <w:rPr>
          <w:szCs w:val="20"/>
        </w:rPr>
        <w:t xml:space="preserve">  Those supporting the item included Mr. Searles</w:t>
      </w:r>
      <w:r w:rsidR="0050671B">
        <w:rPr>
          <w:szCs w:val="20"/>
        </w:rPr>
        <w:t xml:space="preserve"> (API)</w:t>
      </w:r>
      <w:r w:rsidRPr="00281428">
        <w:rPr>
          <w:szCs w:val="20"/>
        </w:rPr>
        <w:t xml:space="preserve">, Mr. </w:t>
      </w:r>
      <w:r w:rsidR="00584C79" w:rsidRPr="00281428">
        <w:rPr>
          <w:szCs w:val="20"/>
        </w:rPr>
        <w:t xml:space="preserve">Joe </w:t>
      </w:r>
      <w:r w:rsidRPr="00281428">
        <w:rPr>
          <w:szCs w:val="20"/>
        </w:rPr>
        <w:t xml:space="preserve">Sorena (Chevron), Mr. </w:t>
      </w:r>
      <w:r w:rsidR="00584C79" w:rsidRPr="00281428">
        <w:rPr>
          <w:szCs w:val="20"/>
        </w:rPr>
        <w:t xml:space="preserve">Russ </w:t>
      </w:r>
      <w:r w:rsidRPr="00281428">
        <w:rPr>
          <w:szCs w:val="20"/>
        </w:rPr>
        <w:t>Lewis (Marathon</w:t>
      </w:r>
      <w:r w:rsidR="009C3C7A">
        <w:rPr>
          <w:szCs w:val="20"/>
        </w:rPr>
        <w:t xml:space="preserve"> Petroleum</w:t>
      </w:r>
      <w:r w:rsidRPr="00281428">
        <w:rPr>
          <w:szCs w:val="20"/>
        </w:rPr>
        <w:t>).  The supporting comments included that this just adds back what was not included during the emergency amendment for the 2020 Handbook.  Mr. Harington (</w:t>
      </w:r>
      <w:r w:rsidR="0050671B">
        <w:rPr>
          <w:szCs w:val="20"/>
        </w:rPr>
        <w:t>OR</w:t>
      </w:r>
      <w:r w:rsidRPr="00281428">
        <w:rPr>
          <w:szCs w:val="20"/>
        </w:rPr>
        <w:t xml:space="preserve">) supporting as </w:t>
      </w:r>
      <w:r w:rsidRPr="00281428">
        <w:rPr>
          <w:szCs w:val="20"/>
        </w:rPr>
        <w:lastRenderedPageBreak/>
        <w:t>a voting item or leave it on the agenda for another cycle. It was decided that further review was needed, and the item was downgraded to Informational status</w:t>
      </w:r>
      <w:r w:rsidR="00A06034">
        <w:rPr>
          <w:szCs w:val="20"/>
        </w:rPr>
        <w:t>.</w:t>
      </w:r>
    </w:p>
    <w:p w14:paraId="32BEA43A" w14:textId="23EAE71E" w:rsidR="001E784E" w:rsidRPr="00281428" w:rsidRDefault="001E784E" w:rsidP="001E784E">
      <w:pPr>
        <w:rPr>
          <w:rFonts w:eastAsiaTheme="minorHAnsi" w:cstheme="minorBidi"/>
          <w:szCs w:val="20"/>
        </w:rPr>
      </w:pPr>
      <w:r w:rsidRPr="00A06034">
        <w:rPr>
          <w:szCs w:val="20"/>
          <w:u w:val="single"/>
        </w:rPr>
        <w:t xml:space="preserve">NCWM </w:t>
      </w:r>
      <w:r w:rsidR="001377BB">
        <w:rPr>
          <w:szCs w:val="20"/>
          <w:u w:val="single"/>
        </w:rPr>
        <w:t xml:space="preserve">2021 </w:t>
      </w:r>
      <w:r w:rsidRPr="00A06034">
        <w:rPr>
          <w:szCs w:val="20"/>
          <w:u w:val="single"/>
        </w:rPr>
        <w:t>Interim Meeting</w:t>
      </w:r>
      <w:r w:rsidR="00A06034" w:rsidRPr="00A06034">
        <w:rPr>
          <w:szCs w:val="20"/>
          <w:u w:val="single"/>
        </w:rPr>
        <w:t>:</w:t>
      </w:r>
      <w:r w:rsidR="00A06034">
        <w:rPr>
          <w:szCs w:val="20"/>
        </w:rPr>
        <w:t xml:space="preserve">  T</w:t>
      </w:r>
      <w:r w:rsidRPr="00281428">
        <w:rPr>
          <w:szCs w:val="20"/>
        </w:rPr>
        <w:t xml:space="preserve">he Committee was informed that after a multiyear process the EPA Streamlining Rule was signed in late 2020.  The rule has drawn considerable interest and discussion with various stakeholders.  Many would like to wait for the streamlining rules and a review of the Handbook regulations.  Some believe that language is specified in the CFR and the streamlining rule does not affect this.  Some felt this item should be withdrawn it its entirety.  A few comments were heard that were </w:t>
      </w:r>
      <w:r w:rsidR="00C75456" w:rsidRPr="00281428">
        <w:rPr>
          <w:szCs w:val="20"/>
        </w:rPr>
        <w:t>like</w:t>
      </w:r>
      <w:r w:rsidRPr="00281428">
        <w:rPr>
          <w:szCs w:val="20"/>
        </w:rPr>
        <w:t xml:space="preserve"> those from annual meeting hearings in both support and opposition to of the item.  A neutral comment was heard from Mr. Elliott</w:t>
      </w:r>
      <w:r w:rsidR="00584C79" w:rsidRPr="00281428">
        <w:rPr>
          <w:szCs w:val="20"/>
        </w:rPr>
        <w:t xml:space="preserve"> </w:t>
      </w:r>
      <w:r w:rsidRPr="00281428">
        <w:rPr>
          <w:szCs w:val="20"/>
        </w:rPr>
        <w:t>(</w:t>
      </w:r>
      <w:r w:rsidR="0050671B">
        <w:rPr>
          <w:szCs w:val="20"/>
        </w:rPr>
        <w:t>WA</w:t>
      </w:r>
      <w:r w:rsidRPr="00281428">
        <w:rPr>
          <w:szCs w:val="20"/>
        </w:rPr>
        <w:t>) challenging for theoretical examples showing the harm of having or not having the proposed language added back in.  The</w:t>
      </w:r>
      <w:r w:rsidRPr="00281428">
        <w:rPr>
          <w:bCs/>
          <w:iCs/>
          <w:szCs w:val="20"/>
        </w:rPr>
        <w:t xml:space="preserve"> Committee deemed this item to be fully developed and felt this should be voted on its own merit.</w:t>
      </w:r>
    </w:p>
    <w:p w14:paraId="4DF9BB33" w14:textId="77777777" w:rsidR="00511A28" w:rsidRPr="00281428" w:rsidRDefault="00511A28" w:rsidP="00511A28">
      <w:pPr>
        <w:keepNext/>
        <w:keepLines/>
        <w:spacing w:after="120"/>
        <w:rPr>
          <w:szCs w:val="20"/>
        </w:rPr>
      </w:pPr>
      <w:r w:rsidRPr="00281428">
        <w:rPr>
          <w:b/>
          <w:szCs w:val="20"/>
        </w:rPr>
        <w:t>Regional Association Comments:</w:t>
      </w:r>
    </w:p>
    <w:p w14:paraId="65E6FB33" w14:textId="0DA9F5C9" w:rsidR="0041012A" w:rsidRPr="00281428" w:rsidRDefault="0041012A" w:rsidP="0041012A">
      <w:pPr>
        <w:rPr>
          <w:rFonts w:eastAsia="Times New Roman"/>
          <w:szCs w:val="24"/>
        </w:rPr>
      </w:pPr>
      <w:r w:rsidRPr="00A06034">
        <w:rPr>
          <w:szCs w:val="20"/>
          <w:u w:val="single"/>
        </w:rPr>
        <w:t>WWMA</w:t>
      </w:r>
      <w:r w:rsidR="001377BB">
        <w:rPr>
          <w:szCs w:val="20"/>
          <w:u w:val="single"/>
        </w:rPr>
        <w:t xml:space="preserve"> 2019</w:t>
      </w:r>
      <w:r w:rsidRPr="00A06034">
        <w:rPr>
          <w:szCs w:val="20"/>
          <w:u w:val="single"/>
        </w:rPr>
        <w:t xml:space="preserve"> Annual Meeting</w:t>
      </w:r>
      <w:r w:rsidR="00A06034" w:rsidRPr="00A06034">
        <w:rPr>
          <w:szCs w:val="20"/>
          <w:u w:val="single"/>
        </w:rPr>
        <w:t>:</w:t>
      </w:r>
      <w:r w:rsidR="00A06034">
        <w:rPr>
          <w:szCs w:val="20"/>
        </w:rPr>
        <w:t xml:space="preserve">  A</w:t>
      </w:r>
      <w:r w:rsidRPr="00281428">
        <w:rPr>
          <w:rFonts w:eastAsia="Times New Roman"/>
          <w:szCs w:val="24"/>
        </w:rPr>
        <w:t xml:space="preserve"> presentation was provided by Mr. Joe Sorena (representing API).   Mr. Steven Harrington (</w:t>
      </w:r>
      <w:r w:rsidR="00DA67C4">
        <w:rPr>
          <w:rFonts w:eastAsia="Times New Roman"/>
          <w:szCs w:val="24"/>
        </w:rPr>
        <w:t>OR</w:t>
      </w:r>
      <w:r w:rsidRPr="00281428">
        <w:rPr>
          <w:rFonts w:eastAsia="Times New Roman"/>
          <w:szCs w:val="24"/>
        </w:rPr>
        <w:t>) recommended this be assigned to FALS for review and he concurs with the modification to 2.1.2.(a) in adding the language “containing at least 9 and not more than 15 volume percent ethanol.”  Mr. Kevin Adlaf (ADM) felt that the proposal provided too much information that was not necessary.  Mr. Adlaf asked if there was any data to support this proposal.  Ms. Cadence Matijevich (</w:t>
      </w:r>
      <w:r w:rsidR="00DA67C4">
        <w:rPr>
          <w:rFonts w:eastAsia="Times New Roman"/>
          <w:szCs w:val="24"/>
        </w:rPr>
        <w:t>NV</w:t>
      </w:r>
      <w:r w:rsidRPr="00281428">
        <w:rPr>
          <w:rFonts w:eastAsia="Times New Roman"/>
          <w:szCs w:val="24"/>
        </w:rPr>
        <w:t xml:space="preserve">) remarked that Section 2.1.2.(b), the first sentence has grammar issues.  Ms. Jacki Fee (Cargill) remarked that several items were left out of the language.  Ms. Kristy Moore (Growth Energy) remarked that the item was addressed at the 2019 NCWM Annual </w:t>
      </w:r>
      <w:r w:rsidR="00DA67C4">
        <w:rPr>
          <w:rFonts w:eastAsia="Times New Roman"/>
          <w:szCs w:val="24"/>
        </w:rPr>
        <w:t>M</w:t>
      </w:r>
      <w:r w:rsidRPr="00281428">
        <w:rPr>
          <w:rFonts w:eastAsia="Times New Roman"/>
          <w:szCs w:val="24"/>
        </w:rPr>
        <w:t xml:space="preserve">eeting and recommends this item be </w:t>
      </w:r>
      <w:r w:rsidR="00DA67C4">
        <w:rPr>
          <w:rFonts w:eastAsia="Times New Roman"/>
          <w:szCs w:val="24"/>
        </w:rPr>
        <w:t>W</w:t>
      </w:r>
      <w:r w:rsidRPr="00281428">
        <w:rPr>
          <w:rFonts w:eastAsia="Times New Roman"/>
          <w:szCs w:val="24"/>
        </w:rPr>
        <w:t>ithdrawn.  The Committee is recommending this be Assigned to FALS for further review.   It was noted that the formatting was not correct within the agenda and it should appear as:</w:t>
      </w:r>
    </w:p>
    <w:p w14:paraId="693FCB43" w14:textId="77777777" w:rsidR="0041012A" w:rsidRPr="00281428" w:rsidRDefault="0041012A" w:rsidP="0041012A">
      <w:pPr>
        <w:tabs>
          <w:tab w:val="left" w:pos="360"/>
          <w:tab w:val="left" w:pos="1200"/>
        </w:tabs>
        <w:autoSpaceDE w:val="0"/>
        <w:autoSpaceDN w:val="0"/>
        <w:adjustRightInd w:val="0"/>
        <w:ind w:left="360" w:firstLine="20"/>
        <w:rPr>
          <w:rFonts w:eastAsia="Times New Roman"/>
          <w:bCs/>
          <w:szCs w:val="20"/>
        </w:rPr>
      </w:pPr>
      <w:bookmarkStart w:id="84" w:name="_Toc529205424"/>
      <w:r w:rsidRPr="00281428">
        <w:rPr>
          <w:rFonts w:eastAsia="Times New Roman"/>
          <w:b/>
          <w:bCs/>
          <w:color w:val="000000"/>
          <w:szCs w:val="24"/>
        </w:rPr>
        <w:t>2.1.2.  Gasoline-Ethanol Blends.</w:t>
      </w:r>
      <w:bookmarkEnd w:id="84"/>
      <w:r w:rsidRPr="00281428">
        <w:rPr>
          <w:rFonts w:eastAsia="Times New Roman"/>
          <w:bCs/>
          <w:szCs w:val="20"/>
        </w:rPr>
        <w:t xml:space="preserve"> – 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w:t>
      </w:r>
      <w:bookmarkStart w:id="85" w:name="_Hlk15882373"/>
      <w:r w:rsidRPr="00281428">
        <w:rPr>
          <w:rFonts w:eastAsia="Times New Roman"/>
          <w:bCs/>
          <w:szCs w:val="20"/>
        </w:rPr>
        <w:t>,</w:t>
      </w:r>
      <w:r w:rsidRPr="00281428">
        <w:rPr>
          <w:rFonts w:eastAsia="Times New Roman"/>
          <w:bCs/>
          <w:szCs w:val="24"/>
        </w:rPr>
        <w:t xml:space="preserve"> </w:t>
      </w:r>
      <w:r w:rsidRPr="00281428">
        <w:rPr>
          <w:rFonts w:eastAsia="Times New Roman"/>
          <w:bCs/>
          <w:szCs w:val="20"/>
        </w:rPr>
        <w:t xml:space="preserve">“Standard Specification for Automotive Spark-Ignition Engine Fuel,” </w:t>
      </w:r>
      <w:bookmarkEnd w:id="85"/>
      <w:r w:rsidRPr="00281428">
        <w:rPr>
          <w:rFonts w:eastAsia="Times New Roman"/>
          <w:bCs/>
          <w:szCs w:val="20"/>
        </w:rPr>
        <w:t xml:space="preserve">with the following permissible exceptions: </w:t>
      </w:r>
    </w:p>
    <w:p w14:paraId="4F65AD38" w14:textId="77777777" w:rsidR="0041012A" w:rsidRPr="00281428" w:rsidRDefault="0041012A" w:rsidP="0041012A">
      <w:pPr>
        <w:numPr>
          <w:ilvl w:val="0"/>
          <w:numId w:val="76"/>
        </w:numPr>
        <w:tabs>
          <w:tab w:val="left" w:pos="360"/>
          <w:tab w:val="left" w:pos="1200"/>
        </w:tabs>
        <w:spacing w:after="60"/>
        <w:ind w:left="1094"/>
        <w:rPr>
          <w:rFonts w:eastAsia="Times New Roman"/>
          <w:bCs/>
          <w:szCs w:val="20"/>
        </w:rPr>
      </w:pPr>
      <w:r w:rsidRPr="00281428">
        <w:rPr>
          <w:rFonts w:eastAsia="Times New Roman"/>
          <w:bCs/>
          <w:szCs w:val="20"/>
        </w:rPr>
        <w:t xml:space="preserve">The maximum vapor pressure shall not exceed the latest version of ASTM D4814, “Standard Specification for Automotive Spark-Ignition Engine Fuel,” limits by more than 1.0 psi for blends </w:t>
      </w:r>
      <w:r w:rsidRPr="00281428">
        <w:rPr>
          <w:rFonts w:eastAsia="Times New Roman"/>
          <w:b/>
          <w:bCs/>
          <w:szCs w:val="20"/>
          <w:u w:val="single"/>
        </w:rPr>
        <w:t>containing at least 9 and not more than 15 volume percent ethanol</w:t>
      </w:r>
      <w:r w:rsidRPr="00281428">
        <w:rPr>
          <w:rFonts w:eastAsia="Times New Roman"/>
          <w:bCs/>
          <w:szCs w:val="20"/>
        </w:rPr>
        <w:t xml:space="preserve"> from June 1 through September 15 as allowed by EPA per 40 CFR 80.27(d). </w:t>
      </w:r>
    </w:p>
    <w:p w14:paraId="0AB31C0F" w14:textId="77777777" w:rsidR="0041012A" w:rsidRPr="00281428" w:rsidRDefault="0041012A" w:rsidP="0041012A">
      <w:pPr>
        <w:spacing w:before="60"/>
        <w:ind w:left="360"/>
        <w:rPr>
          <w:rFonts w:eastAsia="Times New Roman"/>
          <w:bCs/>
          <w:szCs w:val="24"/>
        </w:rPr>
      </w:pPr>
      <w:r w:rsidRPr="00281428">
        <w:rPr>
          <w:rFonts w:eastAsia="Times New Roman"/>
          <w:bCs/>
          <w:szCs w:val="24"/>
        </w:rPr>
        <w:t xml:space="preserve">(Amended 2016, 2018, </w:t>
      </w:r>
      <w:r w:rsidRPr="00281428">
        <w:rPr>
          <w:rFonts w:eastAsia="Times New Roman"/>
          <w:b/>
          <w:bCs/>
          <w:strike/>
          <w:szCs w:val="24"/>
        </w:rPr>
        <w:t>and</w:t>
      </w:r>
      <w:r w:rsidRPr="00281428">
        <w:rPr>
          <w:rFonts w:eastAsia="Times New Roman"/>
          <w:bCs/>
          <w:szCs w:val="24"/>
        </w:rPr>
        <w:t xml:space="preserve"> 2019</w:t>
      </w:r>
      <w:r w:rsidRPr="00281428">
        <w:rPr>
          <w:rFonts w:eastAsia="Times New Roman"/>
          <w:b/>
          <w:bCs/>
          <w:szCs w:val="24"/>
          <w:u w:val="single"/>
        </w:rPr>
        <w:t>, and 20XX</w:t>
      </w:r>
      <w:r w:rsidRPr="00281428">
        <w:rPr>
          <w:rFonts w:eastAsia="Times New Roman"/>
          <w:bCs/>
          <w:szCs w:val="24"/>
        </w:rPr>
        <w:t>)</w:t>
      </w:r>
    </w:p>
    <w:p w14:paraId="14480F58" w14:textId="77777777" w:rsidR="0041012A" w:rsidRPr="00281428" w:rsidRDefault="0041012A" w:rsidP="0041012A">
      <w:pPr>
        <w:spacing w:before="60" w:after="60"/>
        <w:ind w:left="1137" w:hanging="446"/>
        <w:rPr>
          <w:rFonts w:eastAsia="Times New Roman"/>
          <w:bCs/>
          <w:szCs w:val="24"/>
        </w:rPr>
      </w:pPr>
      <w:r w:rsidRPr="00281428">
        <w:rPr>
          <w:rFonts w:eastAsia="Times New Roman"/>
          <w:b/>
          <w:bCs/>
          <w:szCs w:val="24"/>
          <w:u w:val="single"/>
        </w:rPr>
        <w:t>(b)</w:t>
      </w:r>
      <w:r w:rsidRPr="00281428">
        <w:rPr>
          <w:rFonts w:eastAsia="Times New Roman"/>
          <w:bCs/>
          <w:szCs w:val="24"/>
        </w:rPr>
        <w:tab/>
      </w:r>
      <w:r w:rsidRPr="00281428">
        <w:rPr>
          <w:rFonts w:eastAsia="Times New Roman"/>
          <w:b/>
          <w:bCs/>
          <w:szCs w:val="24"/>
          <w:u w:val="single"/>
        </w:rPr>
        <w:t>An ethanol blender, distributor, reseller, carrier, retailer, or wholesale purchaser-consumer who exceeds the applicable standard by more than 1.0 psi, shall demonstrate, by showing receipt of a certification from the facility from which the gasoline, gasoline-ethanol blend or ethanol flex fuel blend was received, that the hydrocarbon portion of the blend complies with the Reid vapor pressure and other limitations of 40 CFR 80.27(a), as required in 40 CFR 80.28(g)(8). The certification shall be supported by evidence that the above criteria have been met, such as an oversight program which includes periodic sampling and testing of the gasoline or monitoring the volatility and ethanol content of the gasoline.</w:t>
      </w:r>
    </w:p>
    <w:p w14:paraId="2B8156AC" w14:textId="77777777" w:rsidR="0041012A" w:rsidRPr="00281428" w:rsidRDefault="0041012A" w:rsidP="0041012A">
      <w:pPr>
        <w:spacing w:before="60"/>
        <w:ind w:left="1137" w:hanging="446"/>
        <w:rPr>
          <w:rFonts w:eastAsia="Times New Roman"/>
          <w:b/>
          <w:bCs/>
          <w:szCs w:val="24"/>
          <w:u w:val="single"/>
        </w:rPr>
      </w:pPr>
      <w:r w:rsidRPr="00281428">
        <w:rPr>
          <w:rFonts w:eastAsia="Times New Roman"/>
          <w:b/>
          <w:bCs/>
          <w:szCs w:val="24"/>
          <w:u w:val="single"/>
        </w:rPr>
        <w:t>(Added 20XX)</w:t>
      </w:r>
    </w:p>
    <w:p w14:paraId="1BE6C4B3" w14:textId="77777777" w:rsidR="0041012A" w:rsidRPr="00281428" w:rsidRDefault="0041012A" w:rsidP="0041012A">
      <w:pPr>
        <w:shd w:val="clear" w:color="auto" w:fill="FFFFFF"/>
        <w:spacing w:after="0"/>
        <w:ind w:left="360"/>
        <w:rPr>
          <w:rFonts w:eastAsia="Times New Roman"/>
          <w:bCs/>
          <w:i/>
          <w:szCs w:val="24"/>
        </w:rPr>
      </w:pPr>
      <w:r w:rsidRPr="00281428">
        <w:rPr>
          <w:rFonts w:eastAsia="Times New Roman"/>
          <w:bCs/>
          <w:i/>
          <w:szCs w:val="24"/>
        </w:rPr>
        <w:t>NOTE 1:  The values shown above appear only in U.S. customary units to ensure that the values are identical to those in ASTM standards and the Environmental Protection Agency regulation.</w:t>
      </w:r>
    </w:p>
    <w:p w14:paraId="7F14D40D" w14:textId="77777777" w:rsidR="0041012A" w:rsidRPr="00281428" w:rsidRDefault="0041012A" w:rsidP="0041012A">
      <w:pPr>
        <w:ind w:left="360"/>
        <w:rPr>
          <w:szCs w:val="20"/>
          <w:u w:val="single"/>
        </w:rPr>
      </w:pPr>
      <w:r w:rsidRPr="00281428">
        <w:rPr>
          <w:rFonts w:eastAsia="Times New Roman"/>
          <w:szCs w:val="24"/>
        </w:rPr>
        <w:t>(Added 2009) (Amended 2012</w:t>
      </w:r>
      <w:r w:rsidRPr="00281428">
        <w:rPr>
          <w:rFonts w:eastAsia="Times New Roman"/>
          <w:b/>
          <w:szCs w:val="24"/>
          <w:u w:val="single"/>
        </w:rPr>
        <w:t>,</w:t>
      </w:r>
      <w:r w:rsidRPr="00281428">
        <w:rPr>
          <w:rFonts w:eastAsia="Times New Roman"/>
          <w:szCs w:val="24"/>
        </w:rPr>
        <w:t xml:space="preserve"> </w:t>
      </w:r>
      <w:r w:rsidRPr="00281428">
        <w:rPr>
          <w:rFonts w:eastAsia="Times New Roman"/>
          <w:b/>
          <w:strike/>
          <w:szCs w:val="24"/>
        </w:rPr>
        <w:t>and</w:t>
      </w:r>
      <w:r w:rsidRPr="00281428">
        <w:rPr>
          <w:rFonts w:eastAsia="Times New Roman"/>
          <w:szCs w:val="24"/>
        </w:rPr>
        <w:t xml:space="preserve"> 2016</w:t>
      </w:r>
      <w:r w:rsidRPr="00281428">
        <w:rPr>
          <w:rFonts w:eastAsia="Times New Roman"/>
          <w:b/>
          <w:szCs w:val="24"/>
          <w:u w:val="single"/>
        </w:rPr>
        <w:t>, and 20XX</w:t>
      </w:r>
      <w:r w:rsidRPr="00281428">
        <w:rPr>
          <w:rFonts w:eastAsia="Times New Roman"/>
          <w:szCs w:val="24"/>
        </w:rPr>
        <w:t>)</w:t>
      </w:r>
    </w:p>
    <w:p w14:paraId="5D17EC6F" w14:textId="024D8501" w:rsidR="0041012A" w:rsidRPr="00281428" w:rsidRDefault="0041012A" w:rsidP="0041012A">
      <w:pPr>
        <w:rPr>
          <w:szCs w:val="20"/>
        </w:rPr>
      </w:pPr>
      <w:r w:rsidRPr="00A06034">
        <w:rPr>
          <w:szCs w:val="20"/>
          <w:u w:val="single"/>
        </w:rPr>
        <w:t xml:space="preserve">SWMA </w:t>
      </w:r>
      <w:r w:rsidR="001377BB">
        <w:rPr>
          <w:szCs w:val="20"/>
          <w:u w:val="single"/>
        </w:rPr>
        <w:t xml:space="preserve">2019 </w:t>
      </w:r>
      <w:r w:rsidRPr="00A06034">
        <w:rPr>
          <w:szCs w:val="20"/>
          <w:u w:val="single"/>
        </w:rPr>
        <w:t>Annual Meeting</w:t>
      </w:r>
      <w:r w:rsidR="00A06034" w:rsidRPr="00A06034">
        <w:rPr>
          <w:szCs w:val="20"/>
          <w:u w:val="single"/>
        </w:rPr>
        <w:t>:</w:t>
      </w:r>
      <w:r w:rsidR="00A06034">
        <w:rPr>
          <w:szCs w:val="20"/>
        </w:rPr>
        <w:t xml:space="preserve"> </w:t>
      </w:r>
      <w:r w:rsidRPr="00281428">
        <w:rPr>
          <w:szCs w:val="20"/>
        </w:rPr>
        <w:t xml:space="preserve"> </w:t>
      </w:r>
      <w:r w:rsidR="009E4BC7">
        <w:rPr>
          <w:szCs w:val="20"/>
        </w:rPr>
        <w:t>T</w:t>
      </w:r>
      <w:r w:rsidRPr="00281428">
        <w:rPr>
          <w:szCs w:val="20"/>
        </w:rPr>
        <w:t>he</w:t>
      </w:r>
      <w:r w:rsidRPr="00281428">
        <w:rPr>
          <w:rFonts w:eastAsia="Times New Roman"/>
          <w:szCs w:val="24"/>
        </w:rPr>
        <w:t xml:space="preserve"> Committee believed there could be misuse of Section 2.1.2(b).  Once the sample is tested it could be in violation for being substandard.  The responsible party would be the retailer.   How does this responsibility change when they are showing a certification where the product is coming from and is the product in the tank?  It would be difficult for the inspector for following the quality and oversight of that product.  During work session, clarification was provided that if there is documentation that certified product is within the tank the retailer does not need to test for conformance.  There must be a documentation and traceability of the certification.  However, </w:t>
      </w:r>
      <w:r w:rsidRPr="00281428">
        <w:rPr>
          <w:rFonts w:eastAsia="Times New Roman"/>
          <w:szCs w:val="24"/>
        </w:rPr>
        <w:lastRenderedPageBreak/>
        <w:t xml:space="preserve">if no certification then testing would need to be done to be verified.  The Committee did not concur that with the language and the clarification that was provided.  They believe that someone needs to be responsible even if certification is provided.  There were too many questions concerning this issue and the Committee is requesting this be assigned to FALS for additional work and a recommendation to the </w:t>
      </w:r>
      <w:r w:rsidR="009027F7">
        <w:rPr>
          <w:rFonts w:eastAsia="Times New Roman"/>
          <w:szCs w:val="24"/>
        </w:rPr>
        <w:t>NCWM</w:t>
      </w:r>
      <w:r w:rsidRPr="00281428">
        <w:rPr>
          <w:rFonts w:eastAsia="Times New Roman"/>
          <w:szCs w:val="24"/>
        </w:rPr>
        <w:t xml:space="preserve"> L&amp;R Committee.</w:t>
      </w:r>
    </w:p>
    <w:p w14:paraId="79D645F2" w14:textId="0C709F27" w:rsidR="0041012A" w:rsidRDefault="0041012A" w:rsidP="0041012A">
      <w:pPr>
        <w:rPr>
          <w:rFonts w:eastAsia="Times New Roman"/>
          <w:szCs w:val="24"/>
        </w:rPr>
      </w:pPr>
      <w:r w:rsidRPr="00A06034">
        <w:rPr>
          <w:szCs w:val="20"/>
          <w:u w:val="single"/>
        </w:rPr>
        <w:t>NEWMA</w:t>
      </w:r>
      <w:r w:rsidR="00557607">
        <w:rPr>
          <w:szCs w:val="20"/>
          <w:u w:val="single"/>
        </w:rPr>
        <w:t xml:space="preserve"> 2019 </w:t>
      </w:r>
      <w:r w:rsidRPr="00A06034">
        <w:rPr>
          <w:szCs w:val="20"/>
          <w:u w:val="single"/>
        </w:rPr>
        <w:t xml:space="preserve"> Interim Meeting</w:t>
      </w:r>
      <w:r w:rsidR="00A06034" w:rsidRPr="00A06034">
        <w:rPr>
          <w:szCs w:val="20"/>
          <w:u w:val="single"/>
        </w:rPr>
        <w:t>:</w:t>
      </w:r>
      <w:r w:rsidR="00A06034">
        <w:rPr>
          <w:szCs w:val="20"/>
        </w:rPr>
        <w:t xml:space="preserve"> </w:t>
      </w:r>
      <w:r w:rsidRPr="00281428">
        <w:rPr>
          <w:szCs w:val="20"/>
        </w:rPr>
        <w:t xml:space="preserve"> Mr. </w:t>
      </w:r>
      <w:r w:rsidRPr="00281428">
        <w:rPr>
          <w:rFonts w:eastAsia="Times New Roman"/>
          <w:szCs w:val="24"/>
        </w:rPr>
        <w:t>Bill Hornbach (representing Chevron and API) made a brief presentation as to the details of the proposal.  Mr. Hornbac</w:t>
      </w:r>
      <w:r w:rsidR="00016C3E">
        <w:rPr>
          <w:rFonts w:eastAsia="Times New Roman"/>
          <w:szCs w:val="24"/>
        </w:rPr>
        <w:t>h</w:t>
      </w:r>
      <w:r w:rsidRPr="00281428">
        <w:rPr>
          <w:rFonts w:eastAsia="Times New Roman"/>
          <w:szCs w:val="24"/>
        </w:rPr>
        <w:t xml:space="preserve"> supports the item.  Ms. Kristy Moore submitted written comments and </w:t>
      </w:r>
      <w:r w:rsidR="008375DF" w:rsidRPr="00281428">
        <w:rPr>
          <w:rFonts w:eastAsia="Times New Roman"/>
          <w:szCs w:val="24"/>
        </w:rPr>
        <w:t>believed</w:t>
      </w:r>
      <w:r w:rsidRPr="00281428">
        <w:rPr>
          <w:rFonts w:eastAsia="Times New Roman"/>
          <w:szCs w:val="24"/>
        </w:rPr>
        <w:t xml:space="preserve"> the item should be </w:t>
      </w:r>
      <w:r w:rsidR="008375DF">
        <w:rPr>
          <w:rFonts w:eastAsia="Times New Roman"/>
          <w:szCs w:val="24"/>
        </w:rPr>
        <w:t>W</w:t>
      </w:r>
      <w:r w:rsidRPr="00281428">
        <w:rPr>
          <w:rFonts w:eastAsia="Times New Roman"/>
          <w:szCs w:val="24"/>
        </w:rPr>
        <w:t>ithdrawn.  Ms. Jackie Fee (Cargill) opposes the item</w:t>
      </w:r>
      <w:r w:rsidR="007B70BB">
        <w:rPr>
          <w:rFonts w:eastAsia="Times New Roman"/>
          <w:szCs w:val="24"/>
        </w:rPr>
        <w:t xml:space="preserve"> indicating</w:t>
      </w:r>
      <w:r w:rsidRPr="00281428">
        <w:rPr>
          <w:rFonts w:eastAsia="Times New Roman"/>
          <w:szCs w:val="24"/>
        </w:rPr>
        <w:t xml:space="preserve"> that the word “certification” is misleading and recommends withdrawal of this item. </w:t>
      </w:r>
      <w:r w:rsidR="007E6582">
        <w:rPr>
          <w:rFonts w:eastAsia="Times New Roman"/>
          <w:szCs w:val="24"/>
        </w:rPr>
        <w:t xml:space="preserve"> </w:t>
      </w:r>
      <w:r w:rsidRPr="00281428">
        <w:rPr>
          <w:rFonts w:eastAsia="Times New Roman"/>
          <w:szCs w:val="24"/>
        </w:rPr>
        <w:t>The Committee recommended this item be assigned to FALS for further technical review and clarification.</w:t>
      </w:r>
    </w:p>
    <w:p w14:paraId="24C9FF24" w14:textId="00EF20E0" w:rsidR="002A49DA" w:rsidRPr="00281428" w:rsidRDefault="002A49DA" w:rsidP="0041012A">
      <w:pPr>
        <w:rPr>
          <w:szCs w:val="20"/>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50CF5543" w14:textId="221DEC98" w:rsidR="002A49DA" w:rsidRDefault="0041012A" w:rsidP="002A49DA">
      <w:pPr>
        <w:pStyle w:val="TableParagraph"/>
        <w:spacing w:after="240"/>
        <w:ind w:left="0" w:right="94"/>
        <w:jc w:val="both"/>
        <w:rPr>
          <w:sz w:val="20"/>
        </w:rPr>
      </w:pPr>
      <w:r w:rsidRPr="00ED0D76">
        <w:rPr>
          <w:sz w:val="20"/>
          <w:szCs w:val="20"/>
          <w:u w:val="single"/>
        </w:rPr>
        <w:t>CWMA</w:t>
      </w:r>
      <w:r w:rsidR="00557607">
        <w:rPr>
          <w:sz w:val="20"/>
          <w:szCs w:val="20"/>
          <w:u w:val="single"/>
        </w:rPr>
        <w:t xml:space="preserve"> 2019</w:t>
      </w:r>
      <w:r w:rsidRPr="00ED0D76">
        <w:rPr>
          <w:sz w:val="20"/>
          <w:szCs w:val="20"/>
          <w:u w:val="single"/>
        </w:rPr>
        <w:t xml:space="preserve"> Interim Meeting</w:t>
      </w:r>
      <w:r w:rsidR="00A06034" w:rsidRPr="00ED0D76">
        <w:rPr>
          <w:sz w:val="20"/>
          <w:szCs w:val="20"/>
          <w:u w:val="single"/>
        </w:rPr>
        <w:t>:</w:t>
      </w:r>
      <w:r w:rsidR="00A06034" w:rsidRPr="00ED0D76">
        <w:rPr>
          <w:sz w:val="20"/>
          <w:szCs w:val="20"/>
        </w:rPr>
        <w:t xml:space="preserve">  </w:t>
      </w:r>
      <w:r w:rsidR="002A49DA" w:rsidRPr="00ED0D76">
        <w:rPr>
          <w:sz w:val="20"/>
          <w:szCs w:val="20"/>
        </w:rPr>
        <w:t>Mr. Prentiss</w:t>
      </w:r>
      <w:r w:rsidR="002A49DA">
        <w:rPr>
          <w:sz w:val="20"/>
        </w:rPr>
        <w:t xml:space="preserve"> Searles (API) commented that this item adds back and updates the waiver limitations that were provided in the 2019 version of Handbook 130. The 2019 version specified the range of a gasoline-ethanol blend that was granted the 1-psi waiver as “containing 9 to 10 volume percent ethanol.” In June 2019, the U.S. EPA extended the range to 15 volume percent ethanol and during last year’s annual meeting (July 2019), a vote to adopt that modification was made and the applicable range of the waiver was lost. This proposal adds the range for the waiver of 9 to 15% ethanol back in the text. This proposed change realigns NIST Handbook 130 with the language that was there before, is unambiguous and provides necessary contextual information to the user of the Handbook. Having this information available is consistent with the labeling requirements in the NIST Handbook that refer to E15.  Mr. Charlie Stutesman (</w:t>
      </w:r>
      <w:r w:rsidR="00557607">
        <w:rPr>
          <w:sz w:val="20"/>
        </w:rPr>
        <w:t>KS</w:t>
      </w:r>
      <w:r w:rsidR="002A49DA">
        <w:rPr>
          <w:sz w:val="20"/>
        </w:rPr>
        <w:t>) commented he prefers to leave the NIST Handbook 130 as it is with reference language rather than specifics. He believes the item is ready for voting</w:t>
      </w:r>
      <w:r w:rsidR="002A49DA">
        <w:rPr>
          <w:spacing w:val="-2"/>
          <w:sz w:val="20"/>
        </w:rPr>
        <w:t xml:space="preserve"> </w:t>
      </w:r>
      <w:r w:rsidR="002A49DA">
        <w:rPr>
          <w:sz w:val="20"/>
        </w:rPr>
        <w:t>status.  Mr. Chuck Corr (Iowa Renewable Fuels Association) commented that if Handbook 130 is amended to include all the federal rules, it would become too lengthy to be useful for field</w:t>
      </w:r>
      <w:r w:rsidR="002A49DA">
        <w:rPr>
          <w:spacing w:val="-8"/>
          <w:sz w:val="20"/>
        </w:rPr>
        <w:t xml:space="preserve"> </w:t>
      </w:r>
      <w:r w:rsidR="002A49DA">
        <w:rPr>
          <w:sz w:val="20"/>
        </w:rPr>
        <w:t xml:space="preserve">inspectors.  Ms. Beverly Michaels (BP) commented that she believes this reference is important to include in Handbook 130 and should be amended as presented by API. She believes a lack of specificity in the Handbook could be problematic and confusing for those in the field. Regardless of members’ positions on the topic, the item has been fully vetted and is ready for voting status.  Mr. Mike Harrington (Iowa) commented that he heard from many industry representatives and constituents that it would be best to leave the Handbook as a general reference to EPA language. He believes the item should be withdrawn.  </w:t>
      </w:r>
    </w:p>
    <w:p w14:paraId="2C465D23" w14:textId="200AB362" w:rsidR="0041012A" w:rsidRPr="00281428" w:rsidRDefault="002A49DA" w:rsidP="002A49DA">
      <w:pPr>
        <w:pStyle w:val="TableParagraph"/>
        <w:spacing w:after="240"/>
        <w:ind w:left="0" w:right="94"/>
        <w:jc w:val="both"/>
        <w:rPr>
          <w:szCs w:val="20"/>
        </w:rPr>
      </w:pPr>
      <w:r>
        <w:rPr>
          <w:sz w:val="20"/>
        </w:rPr>
        <w:t>The Committee discussed the question of publishing protocols passed recently by the membership that references other documents without specific numbers cited in Handbook 130. Another point that was made was that the</w:t>
      </w:r>
      <w:r>
        <w:rPr>
          <w:spacing w:val="-11"/>
          <w:sz w:val="20"/>
        </w:rPr>
        <w:t xml:space="preserve"> </w:t>
      </w:r>
      <w:r>
        <w:rPr>
          <w:sz w:val="20"/>
        </w:rPr>
        <w:t>industry</w:t>
      </w:r>
      <w:r>
        <w:rPr>
          <w:spacing w:val="-11"/>
          <w:sz w:val="20"/>
        </w:rPr>
        <w:t xml:space="preserve"> </w:t>
      </w:r>
      <w:r>
        <w:rPr>
          <w:sz w:val="20"/>
        </w:rPr>
        <w:t>is</w:t>
      </w:r>
      <w:r>
        <w:rPr>
          <w:spacing w:val="-11"/>
          <w:sz w:val="20"/>
        </w:rPr>
        <w:t xml:space="preserve"> </w:t>
      </w:r>
      <w:r>
        <w:rPr>
          <w:sz w:val="20"/>
        </w:rPr>
        <w:t>rapidly</w:t>
      </w:r>
      <w:r>
        <w:rPr>
          <w:spacing w:val="-11"/>
          <w:sz w:val="20"/>
        </w:rPr>
        <w:t xml:space="preserve"> </w:t>
      </w:r>
      <w:r>
        <w:rPr>
          <w:sz w:val="20"/>
        </w:rPr>
        <w:t>changing,</w:t>
      </w:r>
      <w:r>
        <w:rPr>
          <w:spacing w:val="-11"/>
          <w:sz w:val="20"/>
        </w:rPr>
        <w:t xml:space="preserve"> </w:t>
      </w:r>
      <w:r>
        <w:rPr>
          <w:sz w:val="20"/>
        </w:rPr>
        <w:t>and</w:t>
      </w:r>
      <w:r>
        <w:rPr>
          <w:spacing w:val="-10"/>
          <w:sz w:val="20"/>
        </w:rPr>
        <w:t xml:space="preserve"> </w:t>
      </w:r>
      <w:r>
        <w:rPr>
          <w:sz w:val="20"/>
        </w:rPr>
        <w:t>it</w:t>
      </w:r>
      <w:r>
        <w:rPr>
          <w:spacing w:val="-12"/>
          <w:sz w:val="20"/>
        </w:rPr>
        <w:t xml:space="preserve"> </w:t>
      </w:r>
      <w:r>
        <w:rPr>
          <w:sz w:val="20"/>
        </w:rPr>
        <w:t>is</w:t>
      </w:r>
      <w:r>
        <w:rPr>
          <w:spacing w:val="-12"/>
          <w:sz w:val="20"/>
        </w:rPr>
        <w:t xml:space="preserve"> </w:t>
      </w:r>
      <w:r>
        <w:rPr>
          <w:sz w:val="20"/>
        </w:rPr>
        <w:t>difficult</w:t>
      </w:r>
      <w:r>
        <w:rPr>
          <w:spacing w:val="-11"/>
          <w:sz w:val="20"/>
        </w:rPr>
        <w:t xml:space="preserve"> </w:t>
      </w:r>
      <w:r>
        <w:rPr>
          <w:sz w:val="20"/>
        </w:rPr>
        <w:t>to</w:t>
      </w:r>
      <w:r>
        <w:rPr>
          <w:spacing w:val="-11"/>
          <w:sz w:val="20"/>
        </w:rPr>
        <w:t xml:space="preserve"> </w:t>
      </w:r>
      <w:r>
        <w:rPr>
          <w:sz w:val="20"/>
        </w:rPr>
        <w:t>keep</w:t>
      </w:r>
      <w:r>
        <w:rPr>
          <w:spacing w:val="-6"/>
          <w:sz w:val="20"/>
        </w:rPr>
        <w:t xml:space="preserve"> </w:t>
      </w:r>
      <w:r>
        <w:rPr>
          <w:sz w:val="20"/>
        </w:rPr>
        <w:t>pace</w:t>
      </w:r>
      <w:r>
        <w:rPr>
          <w:spacing w:val="-11"/>
          <w:sz w:val="20"/>
        </w:rPr>
        <w:t xml:space="preserve"> </w:t>
      </w:r>
      <w:r>
        <w:rPr>
          <w:sz w:val="20"/>
        </w:rPr>
        <w:t>in</w:t>
      </w:r>
      <w:r>
        <w:rPr>
          <w:spacing w:val="-10"/>
          <w:sz w:val="20"/>
        </w:rPr>
        <w:t xml:space="preserve"> </w:t>
      </w:r>
      <w:r>
        <w:rPr>
          <w:sz w:val="20"/>
        </w:rPr>
        <w:t>the</w:t>
      </w:r>
      <w:r>
        <w:rPr>
          <w:spacing w:val="-11"/>
          <w:sz w:val="20"/>
        </w:rPr>
        <w:t xml:space="preserve"> </w:t>
      </w:r>
      <w:r>
        <w:rPr>
          <w:sz w:val="20"/>
        </w:rPr>
        <w:t>Handbook</w:t>
      </w:r>
      <w:r>
        <w:rPr>
          <w:spacing w:val="-11"/>
          <w:sz w:val="20"/>
        </w:rPr>
        <w:t xml:space="preserve"> </w:t>
      </w:r>
      <w:r>
        <w:rPr>
          <w:sz w:val="20"/>
        </w:rPr>
        <w:t>as</w:t>
      </w:r>
      <w:r>
        <w:rPr>
          <w:spacing w:val="-11"/>
          <w:sz w:val="20"/>
        </w:rPr>
        <w:t xml:space="preserve"> </w:t>
      </w:r>
      <w:r>
        <w:rPr>
          <w:sz w:val="20"/>
        </w:rPr>
        <w:t>changes</w:t>
      </w:r>
      <w:r>
        <w:rPr>
          <w:spacing w:val="-14"/>
          <w:sz w:val="20"/>
        </w:rPr>
        <w:t xml:space="preserve"> </w:t>
      </w:r>
      <w:r>
        <w:rPr>
          <w:sz w:val="20"/>
        </w:rPr>
        <w:t>happen</w:t>
      </w:r>
      <w:r>
        <w:rPr>
          <w:spacing w:val="-9"/>
          <w:sz w:val="20"/>
        </w:rPr>
        <w:t xml:space="preserve"> </w:t>
      </w:r>
      <w:r>
        <w:rPr>
          <w:sz w:val="20"/>
        </w:rPr>
        <w:t>in</w:t>
      </w:r>
      <w:r>
        <w:rPr>
          <w:spacing w:val="-11"/>
          <w:sz w:val="20"/>
        </w:rPr>
        <w:t xml:space="preserve"> </w:t>
      </w:r>
      <w:r>
        <w:rPr>
          <w:sz w:val="20"/>
        </w:rPr>
        <w:t>the</w:t>
      </w:r>
      <w:r>
        <w:rPr>
          <w:spacing w:val="-8"/>
          <w:sz w:val="20"/>
        </w:rPr>
        <w:t xml:space="preserve"> </w:t>
      </w:r>
      <w:r>
        <w:rPr>
          <w:sz w:val="20"/>
        </w:rPr>
        <w:t>referenced materials. Based on these points, the CWMA L&amp;R Committee recommends this item be</w:t>
      </w:r>
      <w:r>
        <w:rPr>
          <w:spacing w:val="-2"/>
          <w:sz w:val="20"/>
        </w:rPr>
        <w:t xml:space="preserve"> </w:t>
      </w:r>
      <w:r>
        <w:rPr>
          <w:sz w:val="20"/>
        </w:rPr>
        <w:t>Withdrawn</w:t>
      </w:r>
      <w:r w:rsidR="0041012A" w:rsidRPr="00281428">
        <w:rPr>
          <w:szCs w:val="24"/>
        </w:rPr>
        <w:t>.</w:t>
      </w:r>
    </w:p>
    <w:p w14:paraId="34A8A87E" w14:textId="3B5EB549" w:rsidR="00E33621" w:rsidRPr="00281428" w:rsidRDefault="00E33621" w:rsidP="00E33621">
      <w:pPr>
        <w:rPr>
          <w:szCs w:val="20"/>
        </w:rPr>
      </w:pPr>
      <w:r w:rsidRPr="00281428">
        <w:rPr>
          <w:szCs w:val="20"/>
        </w:rPr>
        <w:t xml:space="preserve">Additional letters, presentation and data may have been submitted for consideration with this item.  Please refer to </w:t>
      </w:r>
      <w:hyperlink r:id="rId24" w:history="1">
        <w:r w:rsidR="00F222FE" w:rsidRPr="00A766AF">
          <w:rPr>
            <w:rStyle w:val="Hyperlink"/>
            <w:noProof w:val="0"/>
            <w:color w:val="0000FF"/>
          </w:rPr>
          <w:t>https://www.ncwm.com/publication-16</w:t>
        </w:r>
      </w:hyperlink>
      <w:r w:rsidRPr="00281428">
        <w:rPr>
          <w:szCs w:val="20"/>
        </w:rPr>
        <w:t xml:space="preserve"> to review these documents.</w:t>
      </w:r>
    </w:p>
    <w:p w14:paraId="2113F541" w14:textId="4F37994E" w:rsidR="00D62CDC" w:rsidRPr="00281428" w:rsidRDefault="008C3736" w:rsidP="00FC49B1">
      <w:pPr>
        <w:pStyle w:val="ItemHeading"/>
        <w:keepNext w:val="0"/>
        <w:keepLines w:val="0"/>
        <w:tabs>
          <w:tab w:val="clear" w:pos="900"/>
          <w:tab w:val="left" w:pos="1260"/>
        </w:tabs>
        <w:ind w:left="1800" w:hanging="1800"/>
      </w:pPr>
      <w:bookmarkStart w:id="86" w:name="_Toc65741442"/>
      <w:r w:rsidRPr="00281428">
        <w:t>FLR</w:t>
      </w:r>
      <w:r w:rsidR="00D62CDC" w:rsidRPr="00281428">
        <w:t>-21.1</w:t>
      </w:r>
      <w:r w:rsidR="00D62CDC" w:rsidRPr="00281428">
        <w:tab/>
      </w:r>
      <w:r w:rsidR="009A004B" w:rsidRPr="00281428">
        <w:t>W</w:t>
      </w:r>
      <w:r w:rsidR="00D62CDC" w:rsidRPr="00281428">
        <w:tab/>
      </w:r>
      <w:r w:rsidR="00CC5313" w:rsidRPr="00281428">
        <w:t xml:space="preserve">Section </w:t>
      </w:r>
      <w:r w:rsidRPr="00281428">
        <w:t>4.4</w:t>
      </w:r>
      <w:r w:rsidR="00D92DDF" w:rsidRPr="00281428">
        <w:t>. Product Storage</w:t>
      </w:r>
      <w:r w:rsidR="002B0589" w:rsidRPr="00281428">
        <w:rPr>
          <w:u w:val="single"/>
        </w:rPr>
        <w:t xml:space="preserve"> and Dispenser</w:t>
      </w:r>
      <w:r w:rsidR="002B0589" w:rsidRPr="00281428">
        <w:t xml:space="preserve"> </w:t>
      </w:r>
      <w:r w:rsidR="005F260C" w:rsidRPr="00281428">
        <w:t>Identification</w:t>
      </w:r>
      <w:bookmarkEnd w:id="86"/>
    </w:p>
    <w:p w14:paraId="15B48A4B" w14:textId="77777777" w:rsidR="00D62CDC" w:rsidRPr="00281428" w:rsidRDefault="00D62CDC" w:rsidP="009D59D1">
      <w:pPr>
        <w:spacing w:after="0"/>
        <w:rPr>
          <w:b/>
          <w:bCs/>
        </w:rPr>
      </w:pPr>
      <w:r w:rsidRPr="00281428">
        <w:rPr>
          <w:b/>
          <w:bCs/>
        </w:rPr>
        <w:t xml:space="preserve">Source:  </w:t>
      </w:r>
    </w:p>
    <w:p w14:paraId="4A2A2441" w14:textId="14AAC294" w:rsidR="00D62CDC" w:rsidRPr="00281428" w:rsidRDefault="005F260C" w:rsidP="002F0196">
      <w:r w:rsidRPr="00281428">
        <w:t>D</w:t>
      </w:r>
      <w:r w:rsidR="00866E0C" w:rsidRPr="00281428">
        <w:t>e</w:t>
      </w:r>
      <w:r w:rsidRPr="00281428">
        <w:t>l</w:t>
      </w:r>
      <w:r w:rsidR="00B450AA" w:rsidRPr="00281428">
        <w:t>a</w:t>
      </w:r>
      <w:r w:rsidRPr="00281428">
        <w:t>ware</w:t>
      </w:r>
      <w:r w:rsidR="00D62CDC" w:rsidRPr="00281428">
        <w:t xml:space="preserve"> Weights and Measures</w:t>
      </w:r>
    </w:p>
    <w:p w14:paraId="4DBDB69E" w14:textId="77777777" w:rsidR="00D62CDC" w:rsidRPr="00281428" w:rsidRDefault="00D62CDC" w:rsidP="002F0196">
      <w:pPr>
        <w:spacing w:after="0"/>
        <w:rPr>
          <w:b/>
          <w:bCs/>
        </w:rPr>
      </w:pPr>
      <w:r w:rsidRPr="00281428">
        <w:rPr>
          <w:b/>
          <w:bCs/>
        </w:rPr>
        <w:t xml:space="preserve">Purpose:  </w:t>
      </w:r>
    </w:p>
    <w:p w14:paraId="02139F8C" w14:textId="469602EE" w:rsidR="00D62CDC" w:rsidRPr="00281428" w:rsidRDefault="009F2CE9" w:rsidP="002F0196">
      <w:pPr>
        <w:rPr>
          <w:szCs w:val="20"/>
        </w:rPr>
      </w:pPr>
      <w:r w:rsidRPr="00281428">
        <w:rPr>
          <w:szCs w:val="20"/>
        </w:rPr>
        <w:t>Make product lines distinguishable so Inspectors can identify defective equipment</w:t>
      </w:r>
      <w:r w:rsidR="00D62CDC" w:rsidRPr="00281428">
        <w:rPr>
          <w:szCs w:val="20"/>
        </w:rPr>
        <w:t>.</w:t>
      </w:r>
    </w:p>
    <w:p w14:paraId="45DC70A9" w14:textId="77777777" w:rsidR="00D62CDC" w:rsidRPr="00281428" w:rsidRDefault="00D62CDC" w:rsidP="002F0196">
      <w:pPr>
        <w:spacing w:after="0"/>
        <w:rPr>
          <w:b/>
          <w:bCs/>
        </w:rPr>
      </w:pPr>
      <w:r w:rsidRPr="00281428">
        <w:rPr>
          <w:b/>
          <w:bCs/>
        </w:rPr>
        <w:t>Item Under Consideration:</w:t>
      </w:r>
    </w:p>
    <w:p w14:paraId="34DAE315" w14:textId="57EFFBC1" w:rsidR="00D62CDC" w:rsidRPr="00281428" w:rsidRDefault="00D62CDC" w:rsidP="002F0196">
      <w:pPr>
        <w:rPr>
          <w:bCs/>
        </w:rPr>
      </w:pPr>
      <w:r w:rsidRPr="00281428">
        <w:rPr>
          <w:bCs/>
        </w:rPr>
        <w:t xml:space="preserve">Amend Handbook 130, </w:t>
      </w:r>
      <w:r w:rsidR="006A4FAD" w:rsidRPr="00281428">
        <w:t>Uniform Fuels and Automotive Lubricants Regulation,</w:t>
      </w:r>
      <w:r w:rsidR="006A4FAD" w:rsidRPr="00281428">
        <w:rPr>
          <w:bCs/>
        </w:rPr>
        <w:t xml:space="preserve"> </w:t>
      </w:r>
      <w:r w:rsidRPr="00281428">
        <w:rPr>
          <w:bCs/>
        </w:rPr>
        <w:t>as follows:</w:t>
      </w:r>
    </w:p>
    <w:p w14:paraId="38B8A871" w14:textId="652559F1" w:rsidR="00D53A87" w:rsidRPr="00281428" w:rsidRDefault="00D53A87" w:rsidP="00FC49B1">
      <w:pPr>
        <w:pStyle w:val="EngineFuelTOC2ndLevel"/>
        <w:tabs>
          <w:tab w:val="left" w:pos="720"/>
        </w:tabs>
        <w:spacing w:after="240"/>
        <w:ind w:left="360"/>
        <w:rPr>
          <w:b/>
        </w:rPr>
      </w:pPr>
      <w:bookmarkStart w:id="87" w:name="_Toc20396857"/>
      <w:r w:rsidRPr="00281428">
        <w:rPr>
          <w:b/>
        </w:rPr>
        <w:t>4.4.</w:t>
      </w:r>
      <w:r w:rsidRPr="00281428">
        <w:rPr>
          <w:b/>
        </w:rPr>
        <w:tab/>
        <w:t>Product Storage</w:t>
      </w:r>
      <w:r w:rsidR="003D01A4" w:rsidRPr="00281428">
        <w:rPr>
          <w:b/>
          <w:u w:val="single"/>
        </w:rPr>
        <w:t xml:space="preserve"> and Dispenser</w:t>
      </w:r>
      <w:r w:rsidRPr="00281428">
        <w:rPr>
          <w:b/>
        </w:rPr>
        <w:t xml:space="preserve"> Identification.</w:t>
      </w:r>
      <w:bookmarkEnd w:id="87"/>
    </w:p>
    <w:p w14:paraId="1F22D8D6" w14:textId="6DDBB7CB" w:rsidR="00D53A87" w:rsidRPr="00281428" w:rsidRDefault="00D53A87" w:rsidP="00D53A87">
      <w:pPr>
        <w:spacing w:after="0"/>
        <w:ind w:left="720"/>
      </w:pPr>
      <w:bookmarkStart w:id="88" w:name="_Toc20396858"/>
      <w:r w:rsidRPr="00281428">
        <w:rPr>
          <w:rStyle w:val="EngineFuelTOC3rdLevelChar"/>
          <w:rFonts w:eastAsia="Calibri"/>
          <w:bCs w:val="0"/>
        </w:rPr>
        <w:t>4.4.1.  Fill Connection Labeling.</w:t>
      </w:r>
      <w:bookmarkEnd w:id="88"/>
      <w:r w:rsidRPr="00281428">
        <w:t xml:space="preserve"> </w:t>
      </w:r>
      <w:r w:rsidRPr="00281428">
        <w:rPr>
          <w:bCs/>
        </w:rPr>
        <w:t>–</w:t>
      </w:r>
      <w:r w:rsidRPr="00281428">
        <w:t xml:space="preserve"> The fill connection for any fuel product storage tank or vessel supplying engine-fuel devices shall be permanently, plainly, and visibly marked as to the product contained.</w:t>
      </w:r>
    </w:p>
    <w:p w14:paraId="16E53ECB" w14:textId="77777777" w:rsidR="00D53A87" w:rsidRPr="00281428" w:rsidRDefault="00D53A87" w:rsidP="00D53A87">
      <w:pPr>
        <w:spacing w:before="60"/>
        <w:ind w:left="720"/>
      </w:pPr>
      <w:r w:rsidRPr="00281428">
        <w:rPr>
          <w:bCs/>
        </w:rPr>
        <w:lastRenderedPageBreak/>
        <w:t>(Amended 2008)</w:t>
      </w:r>
    </w:p>
    <w:p w14:paraId="73A6BC4C" w14:textId="77777777" w:rsidR="00D53A87" w:rsidRPr="00281428" w:rsidRDefault="00D53A87" w:rsidP="00D53A87">
      <w:pPr>
        <w:spacing w:after="0"/>
        <w:ind w:left="720"/>
        <w:rPr>
          <w:szCs w:val="20"/>
        </w:rPr>
      </w:pPr>
      <w:bookmarkStart w:id="89" w:name="_Toc20396859"/>
      <w:r w:rsidRPr="00281428">
        <w:rPr>
          <w:rStyle w:val="EngineFuelTOC3rdLevelChar"/>
          <w:rFonts w:eastAsia="Calibri"/>
          <w:bCs w:val="0"/>
        </w:rPr>
        <w:t>4.4.2.  Declaration of Meaning of Color Code.</w:t>
      </w:r>
      <w:bookmarkEnd w:id="89"/>
      <w:r w:rsidRPr="00281428">
        <w:t xml:space="preserve"> </w:t>
      </w:r>
      <w:r w:rsidRPr="00281428">
        <w:rPr>
          <w:bCs/>
        </w:rPr>
        <w:t>–</w:t>
      </w:r>
      <w:r w:rsidRPr="00281428">
        <w:t xml:space="preserve"> When the fill connection device is marked by means of a </w:t>
      </w:r>
      <w:r w:rsidRPr="00281428">
        <w:rPr>
          <w:szCs w:val="20"/>
        </w:rPr>
        <w:t xml:space="preserve">color code, the color code shall be conspicuously displayed at the place of business and the API color codes as specified and published in “API Recommended Practice 1637” shall be used.  </w:t>
      </w:r>
    </w:p>
    <w:p w14:paraId="4C466562" w14:textId="1371DBA3" w:rsidR="00D62CDC" w:rsidRPr="00281428" w:rsidRDefault="00D53A87" w:rsidP="00D53A87">
      <w:pPr>
        <w:spacing w:before="40"/>
        <w:ind w:left="720"/>
        <w:rPr>
          <w:b/>
          <w:bCs/>
          <w:szCs w:val="20"/>
          <w:u w:val="single"/>
        </w:rPr>
      </w:pPr>
      <w:r w:rsidRPr="00281428">
        <w:rPr>
          <w:szCs w:val="20"/>
        </w:rPr>
        <w:t>(Amended 2018)</w:t>
      </w:r>
      <w:r w:rsidR="00D62CDC" w:rsidRPr="00281428">
        <w:rPr>
          <w:b/>
          <w:bCs/>
          <w:szCs w:val="20"/>
          <w:u w:val="single"/>
        </w:rPr>
        <w:t xml:space="preserve"> </w:t>
      </w:r>
    </w:p>
    <w:p w14:paraId="1203B384" w14:textId="7AA80EE4" w:rsidR="00D53A87" w:rsidRPr="00281428" w:rsidRDefault="006F25FC" w:rsidP="006F25FC">
      <w:pPr>
        <w:spacing w:before="40" w:after="0"/>
        <w:ind w:left="720"/>
        <w:rPr>
          <w:b/>
          <w:bCs/>
          <w:szCs w:val="20"/>
          <w:u w:val="single"/>
        </w:rPr>
      </w:pPr>
      <w:r w:rsidRPr="00281428">
        <w:rPr>
          <w:b/>
          <w:bCs/>
          <w:szCs w:val="20"/>
          <w:u w:val="single"/>
        </w:rPr>
        <w:t xml:space="preserve">4.4.3.  Dispenser Identification. </w:t>
      </w:r>
      <w:r w:rsidR="00983EE6" w:rsidRPr="00281428">
        <w:rPr>
          <w:b/>
          <w:bCs/>
          <w:szCs w:val="20"/>
          <w:u w:val="single"/>
        </w:rPr>
        <w:sym w:font="Symbol" w:char="F02D"/>
      </w:r>
      <w:r w:rsidRPr="00281428">
        <w:rPr>
          <w:b/>
          <w:bCs/>
          <w:szCs w:val="20"/>
          <w:u w:val="single"/>
        </w:rPr>
        <w:t xml:space="preserve"> Inside the dispenser cabinet, the individual dispenser supply piping or the individual meters must be marked by either a label or by color (as defined in 4.4.2</w:t>
      </w:r>
      <w:r w:rsidR="00983EE6" w:rsidRPr="00281428">
        <w:rPr>
          <w:b/>
          <w:bCs/>
          <w:szCs w:val="20"/>
          <w:u w:val="single"/>
        </w:rPr>
        <w:t>.</w:t>
      </w:r>
      <w:r w:rsidRPr="00281428">
        <w:rPr>
          <w:b/>
          <w:bCs/>
          <w:szCs w:val="20"/>
          <w:u w:val="single"/>
        </w:rPr>
        <w:t>) as to the grade of fuel that they provide.</w:t>
      </w:r>
    </w:p>
    <w:p w14:paraId="68CF4100" w14:textId="516D4E12" w:rsidR="006F25FC" w:rsidRPr="00281428" w:rsidRDefault="006F25FC" w:rsidP="00FF4509">
      <w:pPr>
        <w:spacing w:before="60"/>
        <w:ind w:left="720"/>
        <w:rPr>
          <w:b/>
          <w:bCs/>
          <w:szCs w:val="20"/>
        </w:rPr>
      </w:pPr>
      <w:r w:rsidRPr="00281428">
        <w:rPr>
          <w:b/>
          <w:bCs/>
          <w:szCs w:val="20"/>
          <w:u w:val="single"/>
        </w:rPr>
        <w:t>(Added 20XX)</w:t>
      </w:r>
    </w:p>
    <w:p w14:paraId="43AC48C1" w14:textId="77777777" w:rsidR="00D62CDC" w:rsidRPr="00281428" w:rsidRDefault="00D62CDC" w:rsidP="00D62CDC">
      <w:pPr>
        <w:keepNext/>
        <w:spacing w:after="0"/>
        <w:rPr>
          <w:szCs w:val="20"/>
        </w:rPr>
      </w:pPr>
      <w:r w:rsidRPr="00281428">
        <w:rPr>
          <w:b/>
          <w:szCs w:val="20"/>
        </w:rPr>
        <w:t>Previous Action:</w:t>
      </w:r>
    </w:p>
    <w:p w14:paraId="436FDA06" w14:textId="77777777" w:rsidR="00D62CDC" w:rsidRPr="00281428" w:rsidRDefault="00D62CDC" w:rsidP="00D62CDC">
      <w:pPr>
        <w:pStyle w:val="ListParagraph"/>
        <w:numPr>
          <w:ilvl w:val="0"/>
          <w:numId w:val="54"/>
        </w:numPr>
        <w:contextualSpacing/>
      </w:pPr>
      <w:r w:rsidRPr="00281428">
        <w:t>N/A</w:t>
      </w:r>
    </w:p>
    <w:p w14:paraId="350BDDB7" w14:textId="77777777" w:rsidR="00D62CDC" w:rsidRPr="00281428" w:rsidRDefault="00D62CDC" w:rsidP="00D62CDC">
      <w:pPr>
        <w:keepNext/>
        <w:spacing w:after="0"/>
        <w:rPr>
          <w:b/>
          <w:szCs w:val="20"/>
        </w:rPr>
      </w:pPr>
      <w:r w:rsidRPr="00281428">
        <w:rPr>
          <w:b/>
          <w:szCs w:val="20"/>
        </w:rPr>
        <w:t>Original Justification:</w:t>
      </w:r>
    </w:p>
    <w:p w14:paraId="18119123" w14:textId="7E6089B2" w:rsidR="00DF0D66" w:rsidRPr="00281428" w:rsidRDefault="00DF0D66" w:rsidP="00140B35">
      <w:pPr>
        <w:rPr>
          <w:szCs w:val="20"/>
        </w:rPr>
      </w:pPr>
      <w:r w:rsidRPr="00281428">
        <w:rPr>
          <w:szCs w:val="20"/>
        </w:rPr>
        <w:t xml:space="preserve">With the development of new technologies, there is no way for an Inspector to differentiate which meter is suppling fuel to the discharge hose.  In the past, a cog, a </w:t>
      </w:r>
      <w:proofErr w:type="gramStart"/>
      <w:r w:rsidRPr="00281428">
        <w:rPr>
          <w:szCs w:val="20"/>
        </w:rPr>
        <w:t>gear</w:t>
      </w:r>
      <w:proofErr w:type="gramEnd"/>
      <w:r w:rsidRPr="00281428">
        <w:rPr>
          <w:szCs w:val="20"/>
        </w:rPr>
        <w:t xml:space="preserve"> or totalizer would be </w:t>
      </w:r>
      <w:r w:rsidR="008532CE" w:rsidRPr="00281428">
        <w:rPr>
          <w:szCs w:val="20"/>
        </w:rPr>
        <w:t>visible,</w:t>
      </w:r>
      <w:r w:rsidRPr="00281428">
        <w:rPr>
          <w:szCs w:val="20"/>
        </w:rPr>
        <w:t xml:space="preserve"> and you could identify which meter belonged to which grade of fuel.  If the meter is leaking today, you </w:t>
      </w:r>
      <w:r w:rsidR="00992AEE" w:rsidRPr="00281428">
        <w:rPr>
          <w:szCs w:val="20"/>
        </w:rPr>
        <w:t>must</w:t>
      </w:r>
      <w:r w:rsidRPr="00281428">
        <w:rPr>
          <w:szCs w:val="20"/>
        </w:rPr>
        <w:t xml:space="preserve"> fail all grades because you cannot verify which grade is at issue.  With pulsers and security covers to prevent access, you cannot see which meter is </w:t>
      </w:r>
      <w:proofErr w:type="gramStart"/>
      <w:r w:rsidRPr="00281428">
        <w:rPr>
          <w:szCs w:val="20"/>
        </w:rPr>
        <w:t>actually moving</w:t>
      </w:r>
      <w:proofErr w:type="gramEnd"/>
      <w:r w:rsidRPr="00281428">
        <w:rPr>
          <w:szCs w:val="20"/>
        </w:rPr>
        <w:t xml:space="preserve"> product.  The easiest solution would be to spray paint a spot on the supply line with white for </w:t>
      </w:r>
      <w:r w:rsidR="008532CE" w:rsidRPr="00281428">
        <w:rPr>
          <w:szCs w:val="20"/>
        </w:rPr>
        <w:t>Regular</w:t>
      </w:r>
      <w:r w:rsidRPr="00281428">
        <w:rPr>
          <w:szCs w:val="20"/>
        </w:rPr>
        <w:t xml:space="preserve">, red for Premium, Yellow for Diesel, </w:t>
      </w:r>
      <w:r w:rsidR="0030176F" w:rsidRPr="00281428">
        <w:rPr>
          <w:szCs w:val="20"/>
        </w:rPr>
        <w:t>etc.</w:t>
      </w:r>
      <w:r w:rsidRPr="00281428">
        <w:rPr>
          <w:szCs w:val="20"/>
        </w:rPr>
        <w:t xml:space="preserve">  This would also be beneficial when verifying which type of filter must be installed (10 micron for Unleaded or 30 </w:t>
      </w:r>
      <w:proofErr w:type="gramStart"/>
      <w:r w:rsidRPr="00281428">
        <w:rPr>
          <w:szCs w:val="20"/>
        </w:rPr>
        <w:t>micron</w:t>
      </w:r>
      <w:proofErr w:type="gramEnd"/>
      <w:r w:rsidRPr="00281428">
        <w:rPr>
          <w:szCs w:val="20"/>
        </w:rPr>
        <w:t xml:space="preserve"> for Diesel/Kerosene).</w:t>
      </w:r>
    </w:p>
    <w:p w14:paraId="3C142B6E" w14:textId="71067FE8" w:rsidR="00D62CDC" w:rsidRPr="00281428" w:rsidRDefault="002C53EA" w:rsidP="00DF0D66">
      <w:pPr>
        <w:spacing w:before="40"/>
        <w:rPr>
          <w:szCs w:val="20"/>
        </w:rPr>
      </w:pPr>
      <w:r w:rsidRPr="00281428">
        <w:rPr>
          <w:szCs w:val="20"/>
        </w:rPr>
        <w:t xml:space="preserve">The submitter acknowledged that this would be </w:t>
      </w:r>
      <w:r w:rsidR="00FB6D4C" w:rsidRPr="00281428">
        <w:rPr>
          <w:szCs w:val="20"/>
        </w:rPr>
        <w:t>a</w:t>
      </w:r>
      <w:r w:rsidRPr="00281428">
        <w:rPr>
          <w:szCs w:val="20"/>
        </w:rPr>
        <w:t xml:space="preserve">dded expense and extra step to installing a dispenser.  It would also be costly for the retailer to have a service person come and make needed compliance repairs if they were unable to do it themselves.  </w:t>
      </w:r>
      <w:r w:rsidR="00DF0D66" w:rsidRPr="00281428">
        <w:rPr>
          <w:szCs w:val="20"/>
        </w:rPr>
        <w:t xml:space="preserve">This could be non-retroactive to alleviate Retailers from incurring new expenses but would be more beneficial if it were </w:t>
      </w:r>
      <w:r w:rsidR="00FB6D4C" w:rsidRPr="00281428">
        <w:rPr>
          <w:szCs w:val="20"/>
        </w:rPr>
        <w:t>r</w:t>
      </w:r>
      <w:r w:rsidR="00DF0D66" w:rsidRPr="00281428">
        <w:rPr>
          <w:szCs w:val="20"/>
        </w:rPr>
        <w:t>etroactive</w:t>
      </w:r>
      <w:r w:rsidR="00FB6D4C" w:rsidRPr="00281428">
        <w:rPr>
          <w:szCs w:val="20"/>
        </w:rPr>
        <w:t>.</w:t>
      </w:r>
    </w:p>
    <w:p w14:paraId="5F4BDBFD" w14:textId="3C1DD2B5" w:rsidR="00D62CDC" w:rsidRPr="00281428" w:rsidRDefault="00D62CDC" w:rsidP="00D62CDC">
      <w:r w:rsidRPr="00281428">
        <w:rPr>
          <w:szCs w:val="20"/>
        </w:rPr>
        <w:t>The submitter</w:t>
      </w:r>
      <w:r w:rsidRPr="00281428">
        <w:t xml:space="preserve"> requested </w:t>
      </w:r>
      <w:r w:rsidR="001903E1" w:rsidRPr="00281428">
        <w:t xml:space="preserve">Voting </w:t>
      </w:r>
      <w:r w:rsidRPr="00281428">
        <w:t>status for this item in 2021.</w:t>
      </w:r>
    </w:p>
    <w:p w14:paraId="7C4350F3" w14:textId="77777777" w:rsidR="00D62CDC" w:rsidRPr="00281428" w:rsidRDefault="00D62CDC" w:rsidP="00A13B4E">
      <w:pPr>
        <w:rPr>
          <w:b/>
        </w:rPr>
      </w:pPr>
      <w:r w:rsidRPr="00281428">
        <w:rPr>
          <w:b/>
        </w:rPr>
        <w:t>Arguments in Favor:</w:t>
      </w:r>
    </w:p>
    <w:p w14:paraId="3D856487" w14:textId="77777777" w:rsidR="00D62CDC" w:rsidRPr="00281428" w:rsidRDefault="00D62CDC" w:rsidP="00A13B4E">
      <w:pPr>
        <w:spacing w:after="0"/>
        <w:ind w:left="720"/>
        <w:rPr>
          <w:b/>
        </w:rPr>
      </w:pPr>
      <w:r w:rsidRPr="00281428">
        <w:rPr>
          <w:b/>
        </w:rPr>
        <w:t>Regulatory:</w:t>
      </w:r>
    </w:p>
    <w:p w14:paraId="5625B88D" w14:textId="2D537908" w:rsidR="001903E1" w:rsidRPr="00281428" w:rsidRDefault="001903E1" w:rsidP="00055D56">
      <w:pPr>
        <w:pStyle w:val="ListParagraph"/>
        <w:numPr>
          <w:ilvl w:val="0"/>
          <w:numId w:val="52"/>
        </w:numPr>
        <w:spacing w:line="259" w:lineRule="auto"/>
        <w:ind w:left="1080"/>
        <w:contextualSpacing/>
      </w:pPr>
      <w:r w:rsidRPr="00281428">
        <w:t xml:space="preserve">The submitter of the proposal </w:t>
      </w:r>
      <w:r w:rsidR="00081C62">
        <w:t xml:space="preserve">Mr. </w:t>
      </w:r>
      <w:r w:rsidRPr="00281428">
        <w:t>Robert Huff (</w:t>
      </w:r>
      <w:r w:rsidR="00081C62">
        <w:t>DE</w:t>
      </w:r>
      <w:r w:rsidRPr="00281428">
        <w:t xml:space="preserve">) informed the Committee that he was having issue with the new covers on the </w:t>
      </w:r>
      <w:proofErr w:type="gramStart"/>
      <w:r w:rsidRPr="00281428">
        <w:t>cabinet</w:t>
      </w:r>
      <w:proofErr w:type="gramEnd"/>
      <w:r w:rsidRPr="00281428">
        <w:t xml:space="preserve"> and he is unable to different the difference when he does not have access to the pump.    </w:t>
      </w:r>
    </w:p>
    <w:p w14:paraId="4142143A" w14:textId="77777777" w:rsidR="00D62CDC" w:rsidRPr="00281428" w:rsidRDefault="00D62CDC" w:rsidP="00A13B4E">
      <w:pPr>
        <w:spacing w:after="0"/>
        <w:ind w:left="720"/>
        <w:rPr>
          <w:b/>
        </w:rPr>
      </w:pPr>
      <w:r w:rsidRPr="00281428">
        <w:rPr>
          <w:b/>
        </w:rPr>
        <w:t>Industry:</w:t>
      </w:r>
    </w:p>
    <w:p w14:paraId="1F0EC060" w14:textId="02023794" w:rsidR="00D62CDC" w:rsidRPr="00281428" w:rsidRDefault="00055D56" w:rsidP="00D62CDC">
      <w:pPr>
        <w:pStyle w:val="ListParagraph"/>
        <w:numPr>
          <w:ilvl w:val="0"/>
          <w:numId w:val="52"/>
        </w:numPr>
        <w:spacing w:line="259" w:lineRule="auto"/>
        <w:ind w:left="1080"/>
        <w:contextualSpacing/>
        <w:jc w:val="left"/>
      </w:pPr>
      <w:r w:rsidRPr="00281428">
        <w:t>No comments from industry were in favor of this Item</w:t>
      </w:r>
      <w:r w:rsidR="009E3338" w:rsidRPr="00281428">
        <w:t>.</w:t>
      </w:r>
      <w:r w:rsidR="00D66E18" w:rsidRPr="00281428">
        <w:t xml:space="preserve">   </w:t>
      </w:r>
    </w:p>
    <w:p w14:paraId="13F6EB69" w14:textId="77777777" w:rsidR="00D62CDC" w:rsidRPr="00281428" w:rsidRDefault="00D62CDC" w:rsidP="00D62CDC">
      <w:pPr>
        <w:spacing w:after="0"/>
        <w:ind w:left="720"/>
        <w:rPr>
          <w:b/>
        </w:rPr>
      </w:pPr>
      <w:r w:rsidRPr="00281428">
        <w:rPr>
          <w:b/>
        </w:rPr>
        <w:t>Advisory:</w:t>
      </w:r>
    </w:p>
    <w:p w14:paraId="02B1C808" w14:textId="018B860F" w:rsidR="00D62CDC" w:rsidRPr="00281428" w:rsidRDefault="001903E1" w:rsidP="00D62CDC">
      <w:pPr>
        <w:pStyle w:val="ListParagraph"/>
        <w:numPr>
          <w:ilvl w:val="0"/>
          <w:numId w:val="52"/>
        </w:numPr>
        <w:spacing w:line="259" w:lineRule="auto"/>
        <w:ind w:left="1080"/>
        <w:contextualSpacing/>
        <w:jc w:val="left"/>
      </w:pPr>
      <w:r w:rsidRPr="00281428">
        <w:t>No comments</w:t>
      </w:r>
      <w:r w:rsidR="00081C62">
        <w:t>.</w:t>
      </w:r>
    </w:p>
    <w:p w14:paraId="795386D0" w14:textId="77777777" w:rsidR="00D62CDC" w:rsidRPr="00281428" w:rsidRDefault="00D62CDC" w:rsidP="00D62CDC">
      <w:pPr>
        <w:rPr>
          <w:b/>
        </w:rPr>
      </w:pPr>
      <w:r w:rsidRPr="00281428">
        <w:rPr>
          <w:b/>
        </w:rPr>
        <w:t>Arguments Against:</w:t>
      </w:r>
    </w:p>
    <w:p w14:paraId="1467C457" w14:textId="77777777" w:rsidR="00D62CDC" w:rsidRPr="00281428" w:rsidRDefault="00D62CDC" w:rsidP="00D62CDC">
      <w:pPr>
        <w:spacing w:after="0"/>
        <w:ind w:left="720"/>
        <w:rPr>
          <w:b/>
        </w:rPr>
      </w:pPr>
      <w:r w:rsidRPr="00281428">
        <w:rPr>
          <w:b/>
        </w:rPr>
        <w:t>Regulatory:</w:t>
      </w:r>
    </w:p>
    <w:p w14:paraId="513015D1" w14:textId="0C00C557" w:rsidR="001903E1" w:rsidRPr="00281428" w:rsidRDefault="001903E1" w:rsidP="001903E1">
      <w:pPr>
        <w:pStyle w:val="ListParagraph"/>
        <w:numPr>
          <w:ilvl w:val="0"/>
          <w:numId w:val="53"/>
        </w:numPr>
        <w:spacing w:line="259" w:lineRule="auto"/>
        <w:ind w:left="1080"/>
        <w:contextualSpacing/>
        <w:jc w:val="left"/>
      </w:pPr>
      <w:r w:rsidRPr="00281428">
        <w:t xml:space="preserve">There were many regulators who spoke that they were not in support of this proposal. </w:t>
      </w:r>
    </w:p>
    <w:p w14:paraId="25286755" w14:textId="77777777" w:rsidR="00D62CDC" w:rsidRPr="00281428" w:rsidRDefault="00D62CDC" w:rsidP="00D62CDC">
      <w:pPr>
        <w:spacing w:after="0"/>
        <w:ind w:left="720"/>
        <w:rPr>
          <w:b/>
        </w:rPr>
      </w:pPr>
      <w:r w:rsidRPr="00281428">
        <w:rPr>
          <w:b/>
        </w:rPr>
        <w:t>Industry:</w:t>
      </w:r>
    </w:p>
    <w:p w14:paraId="1A10FF06" w14:textId="531E4134" w:rsidR="00D62CDC" w:rsidRPr="00281428" w:rsidRDefault="00D66E18" w:rsidP="00D62CDC">
      <w:pPr>
        <w:pStyle w:val="ListParagraph"/>
        <w:numPr>
          <w:ilvl w:val="0"/>
          <w:numId w:val="53"/>
        </w:numPr>
        <w:spacing w:line="259" w:lineRule="auto"/>
        <w:ind w:left="1080"/>
        <w:contextualSpacing/>
        <w:jc w:val="left"/>
      </w:pPr>
      <w:r w:rsidRPr="00281428">
        <w:t>There were three industry members that do not support this proposal.</w:t>
      </w:r>
    </w:p>
    <w:p w14:paraId="1914462D" w14:textId="77777777" w:rsidR="00D62CDC" w:rsidRPr="00281428" w:rsidRDefault="00D62CDC" w:rsidP="00784007">
      <w:pPr>
        <w:keepNext/>
        <w:spacing w:after="0"/>
        <w:ind w:left="720"/>
        <w:rPr>
          <w:b/>
        </w:rPr>
      </w:pPr>
      <w:r w:rsidRPr="00281428">
        <w:rPr>
          <w:b/>
        </w:rPr>
        <w:lastRenderedPageBreak/>
        <w:t>Advisory:</w:t>
      </w:r>
    </w:p>
    <w:p w14:paraId="39D4DA48" w14:textId="536A7603" w:rsidR="00D62CDC" w:rsidRPr="00281428" w:rsidRDefault="001903E1" w:rsidP="00D62CDC">
      <w:pPr>
        <w:pStyle w:val="ListParagraph"/>
        <w:numPr>
          <w:ilvl w:val="0"/>
          <w:numId w:val="53"/>
        </w:numPr>
        <w:spacing w:line="259" w:lineRule="auto"/>
        <w:ind w:left="1080"/>
        <w:contextualSpacing/>
        <w:jc w:val="left"/>
      </w:pPr>
      <w:r w:rsidRPr="00281428">
        <w:t xml:space="preserve">Ms. </w:t>
      </w:r>
      <w:r w:rsidR="00081C62">
        <w:t xml:space="preserve">Lisa </w:t>
      </w:r>
      <w:r w:rsidRPr="00281428">
        <w:t>Warfield (NIST OWM) noted that at three of the fall regional meetings they requested this item be withdrawn and this information can be found in the background discussion.</w:t>
      </w:r>
    </w:p>
    <w:p w14:paraId="35C6BCE5" w14:textId="77777777" w:rsidR="00D62CDC" w:rsidRPr="00281428" w:rsidRDefault="00D62CDC" w:rsidP="00D62CDC">
      <w:pPr>
        <w:spacing w:after="0"/>
        <w:rPr>
          <w:b/>
        </w:rPr>
      </w:pPr>
      <w:r w:rsidRPr="00281428">
        <w:rPr>
          <w:b/>
        </w:rPr>
        <w:t>Item Development:</w:t>
      </w:r>
    </w:p>
    <w:p w14:paraId="362A1780" w14:textId="09CE6859" w:rsidR="001903E1" w:rsidRPr="00281428" w:rsidRDefault="001903E1" w:rsidP="00D62CDC">
      <w:r w:rsidRPr="00A06034">
        <w:rPr>
          <w:u w:val="single"/>
        </w:rPr>
        <w:t xml:space="preserve">NCWM </w:t>
      </w:r>
      <w:r w:rsidR="00557607">
        <w:rPr>
          <w:u w:val="single"/>
        </w:rPr>
        <w:t xml:space="preserve">2021 </w:t>
      </w:r>
      <w:r w:rsidRPr="00A06034">
        <w:rPr>
          <w:u w:val="single"/>
        </w:rPr>
        <w:t>Interim Meeting</w:t>
      </w:r>
      <w:r w:rsidR="00A06034" w:rsidRPr="00A06034">
        <w:rPr>
          <w:u w:val="single"/>
        </w:rPr>
        <w:t>:</w:t>
      </w:r>
      <w:r w:rsidR="00A06034">
        <w:t xml:space="preserve">  T</w:t>
      </w:r>
      <w:r w:rsidRPr="00281428">
        <w:t xml:space="preserve">he Committee reviewed the regional information and concurs that this is a best practice but not a weights and measures issue.  They encourage the submitter to </w:t>
      </w:r>
      <w:r w:rsidR="002B0241" w:rsidRPr="00281428">
        <w:t>take some of the suggestions offered at the regional meetings develop a new</w:t>
      </w:r>
      <w:r w:rsidRPr="00281428">
        <w:t xml:space="preserve"> proposal for consideration.  The Committee </w:t>
      </w:r>
      <w:r w:rsidR="00123E2B" w:rsidRPr="00281428">
        <w:t>w</w:t>
      </w:r>
      <w:r w:rsidR="00A249B8" w:rsidRPr="00281428">
        <w:t xml:space="preserve">ithdrew </w:t>
      </w:r>
      <w:r w:rsidRPr="00281428">
        <w:t>this item</w:t>
      </w:r>
      <w:r w:rsidR="00A0373E" w:rsidRPr="00281428">
        <w:t>,</w:t>
      </w:r>
      <w:r w:rsidRPr="00281428">
        <w:t xml:space="preserve"> finding that it does not have </w:t>
      </w:r>
      <w:r w:rsidR="00A0373E" w:rsidRPr="00281428">
        <w:t xml:space="preserve">enough </w:t>
      </w:r>
      <w:r w:rsidRPr="00281428">
        <w:t>merit.</w:t>
      </w:r>
    </w:p>
    <w:p w14:paraId="124DA812" w14:textId="77777777" w:rsidR="002748B5" w:rsidRPr="00281428" w:rsidRDefault="002748B5" w:rsidP="002748B5">
      <w:pPr>
        <w:keepNext/>
        <w:keepLines/>
        <w:spacing w:after="120"/>
        <w:rPr>
          <w:szCs w:val="20"/>
        </w:rPr>
      </w:pPr>
      <w:r w:rsidRPr="00281428">
        <w:rPr>
          <w:b/>
          <w:szCs w:val="20"/>
        </w:rPr>
        <w:t>Regional Association Comments:</w:t>
      </w:r>
    </w:p>
    <w:p w14:paraId="42ECD23B" w14:textId="7C143560" w:rsidR="00A157AD" w:rsidRPr="00281428" w:rsidRDefault="002E0C15" w:rsidP="00D335B6">
      <w:pPr>
        <w:rPr>
          <w:rFonts w:eastAsia="Times New Roman"/>
          <w:szCs w:val="24"/>
        </w:rPr>
      </w:pPr>
      <w:r w:rsidRPr="00281428">
        <w:rPr>
          <w:u w:val="single"/>
        </w:rPr>
        <w:t>WWMA 2020 Annual Meeting:</w:t>
      </w:r>
      <w:r w:rsidR="00A157AD" w:rsidRPr="00281428">
        <w:t xml:space="preserve">  A regulator from the State of New Mexico found the proposal helpful from a weights and measures and environmental field inspector’s point of view. The Committee heard concerns from industry and regulators regarding the costs to retrofit dispensers, changing colors on secondhand dispensers, challenges with ready access to the API document, the challenge of one dispenser providing a myriad of grades and blending fuels, and questioning if the problem the proposal intends to address is pervasive enough to make a regulation.</w:t>
      </w:r>
      <w:r w:rsidR="00A157AD" w:rsidRPr="00281428">
        <w:rPr>
          <w:rFonts w:eastAsia="Times New Roman"/>
          <w:szCs w:val="24"/>
        </w:rPr>
        <w:t xml:space="preserve"> Testimony was given regarding logistical challenges of implementing a standardized color code, the possible cost of implementation, and whether this was something that should be codified in regulation.</w:t>
      </w:r>
    </w:p>
    <w:p w14:paraId="3E8EADA7" w14:textId="124A0CCF" w:rsidR="00D62CDC" w:rsidRPr="00281428" w:rsidRDefault="00A157AD" w:rsidP="00A157AD">
      <w:pPr>
        <w:rPr>
          <w:b/>
          <w:bCs/>
        </w:rPr>
      </w:pPr>
      <w:r w:rsidRPr="00281428">
        <w:rPr>
          <w:rFonts w:eastAsia="Times New Roman"/>
          <w:szCs w:val="24"/>
        </w:rPr>
        <w:t>The WWMA L&amp;R Committee recommends this item be Withdrawn.  The Committee felt while well intentioned, this item is better suited as a best practice</w:t>
      </w:r>
      <w:r w:rsidR="002E0C15" w:rsidRPr="00281428">
        <w:rPr>
          <w:b/>
          <w:bCs/>
        </w:rPr>
        <w:t>.</w:t>
      </w:r>
    </w:p>
    <w:p w14:paraId="0D8CEE6A" w14:textId="2E5233CC" w:rsidR="002E0C15" w:rsidRPr="00860BDA" w:rsidRDefault="002E0C15" w:rsidP="001A33DE">
      <w:pPr>
        <w:pStyle w:val="NoSpacing"/>
        <w:spacing w:after="240"/>
        <w:jc w:val="both"/>
        <w:rPr>
          <w:rFonts w:ascii="Times New Roman" w:hAnsi="Times New Roman"/>
          <w:sz w:val="20"/>
          <w:szCs w:val="20"/>
        </w:rPr>
      </w:pPr>
      <w:r w:rsidRPr="00860BDA">
        <w:rPr>
          <w:rFonts w:ascii="Times New Roman" w:hAnsi="Times New Roman"/>
          <w:sz w:val="20"/>
          <w:szCs w:val="20"/>
          <w:u w:val="single"/>
        </w:rPr>
        <w:t>SWMA 2020 Annual Meeting:</w:t>
      </w:r>
      <w:r w:rsidRPr="00860BDA">
        <w:rPr>
          <w:rFonts w:ascii="Times New Roman" w:hAnsi="Times New Roman"/>
          <w:sz w:val="20"/>
          <w:szCs w:val="20"/>
        </w:rPr>
        <w:t xml:space="preserve">  The L&amp;R Committee received comments from several regulators in favor of the proposed item and believed it had merit but needed more development. </w:t>
      </w:r>
      <w:r w:rsidR="001B79DC" w:rsidRPr="00860BDA">
        <w:rPr>
          <w:rFonts w:ascii="Times New Roman" w:hAnsi="Times New Roman"/>
          <w:sz w:val="20"/>
          <w:szCs w:val="20"/>
        </w:rPr>
        <w:t xml:space="preserve"> </w:t>
      </w:r>
      <w:r w:rsidRPr="00860BDA">
        <w:rPr>
          <w:rFonts w:ascii="Times New Roman" w:hAnsi="Times New Roman"/>
          <w:sz w:val="20"/>
          <w:szCs w:val="20"/>
        </w:rPr>
        <w:t xml:space="preserve">Many commented that feedback was needed from industry and other regulators. </w:t>
      </w:r>
      <w:r w:rsidR="001B79DC" w:rsidRPr="00860BDA">
        <w:rPr>
          <w:rFonts w:ascii="Times New Roman" w:hAnsi="Times New Roman"/>
          <w:sz w:val="20"/>
          <w:szCs w:val="20"/>
        </w:rPr>
        <w:t xml:space="preserve"> </w:t>
      </w:r>
      <w:r w:rsidRPr="00860BDA">
        <w:rPr>
          <w:rFonts w:ascii="Times New Roman" w:hAnsi="Times New Roman"/>
          <w:sz w:val="20"/>
          <w:szCs w:val="20"/>
        </w:rPr>
        <w:t>Tennessee and North Carolina already adopt Section 4.4.2. Declaration of Meaning of Color Code of the Uniform Fuels and Automotive Lubricants Regulation.  Mr. Prentiss Searles (API) commented that there would be many challenges in implementation.</w:t>
      </w:r>
      <w:r w:rsidR="009D59D1" w:rsidRPr="00860BDA">
        <w:rPr>
          <w:rFonts w:ascii="Times New Roman" w:hAnsi="Times New Roman"/>
          <w:sz w:val="20"/>
          <w:szCs w:val="20"/>
        </w:rPr>
        <w:t xml:space="preserve"> </w:t>
      </w:r>
      <w:r w:rsidRPr="00860BDA">
        <w:rPr>
          <w:rFonts w:ascii="Times New Roman" w:hAnsi="Times New Roman"/>
          <w:sz w:val="20"/>
          <w:szCs w:val="20"/>
        </w:rPr>
        <w:t xml:space="preserve"> </w:t>
      </w:r>
      <w:r w:rsidR="001B79DC" w:rsidRPr="00860BDA">
        <w:rPr>
          <w:rFonts w:ascii="Times New Roman" w:hAnsi="Times New Roman"/>
          <w:sz w:val="20"/>
          <w:szCs w:val="20"/>
        </w:rPr>
        <w:t xml:space="preserve">Mr. Searles </w:t>
      </w:r>
      <w:r w:rsidRPr="00860BDA">
        <w:rPr>
          <w:rFonts w:ascii="Times New Roman" w:hAnsi="Times New Roman"/>
          <w:sz w:val="20"/>
          <w:szCs w:val="20"/>
        </w:rPr>
        <w:t>agreed with the intent of the proposal but felt it would be more fitting as a best practice instead of rule.</w:t>
      </w:r>
      <w:r w:rsidR="009D59D1" w:rsidRPr="00860BDA">
        <w:rPr>
          <w:rFonts w:ascii="Times New Roman" w:hAnsi="Times New Roman"/>
          <w:sz w:val="20"/>
          <w:szCs w:val="20"/>
        </w:rPr>
        <w:t xml:space="preserve"> </w:t>
      </w:r>
      <w:r w:rsidRPr="00860BDA">
        <w:rPr>
          <w:rFonts w:ascii="Times New Roman" w:hAnsi="Times New Roman"/>
          <w:sz w:val="20"/>
          <w:szCs w:val="20"/>
        </w:rPr>
        <w:t xml:space="preserve"> </w:t>
      </w:r>
      <w:r w:rsidR="001A33DE">
        <w:rPr>
          <w:rFonts w:ascii="Times New Roman" w:hAnsi="Times New Roman"/>
          <w:sz w:val="20"/>
          <w:szCs w:val="20"/>
        </w:rPr>
        <w:t>Mr. Searles</w:t>
      </w:r>
      <w:r w:rsidRPr="00860BDA">
        <w:rPr>
          <w:rFonts w:ascii="Times New Roman" w:hAnsi="Times New Roman"/>
          <w:sz w:val="20"/>
          <w:szCs w:val="20"/>
        </w:rPr>
        <w:t xml:space="preserve"> also mentioned that the color code standard (</w:t>
      </w:r>
      <w:r w:rsidR="00A249B8" w:rsidRPr="00860BDA">
        <w:rPr>
          <w:rFonts w:ascii="Times New Roman" w:hAnsi="Times New Roman"/>
          <w:sz w:val="20"/>
          <w:szCs w:val="20"/>
        </w:rPr>
        <w:t>API Recommended Practice 1637, Using the API Color-Symbol System to Identify Equipment, Vehicles, and Transfer Points for Petroleum Fuels and Related Products at Dispensing and Storage Facilities and Distribution Terminals”</w:t>
      </w:r>
      <w:r w:rsidRPr="00860BDA">
        <w:rPr>
          <w:rFonts w:ascii="Times New Roman" w:hAnsi="Times New Roman"/>
          <w:sz w:val="20"/>
          <w:szCs w:val="20"/>
        </w:rPr>
        <w:t xml:space="preserve">) has been updated and is available online </w:t>
      </w:r>
      <w:hyperlink r:id="rId25" w:history="1">
        <w:r w:rsidR="001B79DC" w:rsidRPr="00860BDA">
          <w:rPr>
            <w:rStyle w:val="Hyperlink"/>
            <w:rFonts w:ascii="Times New Roman" w:hAnsi="Times New Roman"/>
            <w:noProof w:val="0"/>
            <w:sz w:val="20"/>
            <w:u w:val="none"/>
          </w:rPr>
          <w:t>(</w:t>
        </w:r>
        <w:r w:rsidR="001B79DC" w:rsidRPr="001A33DE">
          <w:rPr>
            <w:rStyle w:val="Hyperlink"/>
            <w:rFonts w:ascii="Times New Roman" w:hAnsi="Times New Roman"/>
            <w:bCs/>
            <w:noProof w:val="0"/>
            <w:color w:val="0000FF"/>
            <w:sz w:val="20"/>
          </w:rPr>
          <w:t>www.apiwebstore.org</w:t>
        </w:r>
        <w:r w:rsidR="001B79DC" w:rsidRPr="00860BDA">
          <w:rPr>
            <w:rStyle w:val="Hyperlink"/>
            <w:rFonts w:ascii="Times New Roman" w:hAnsi="Times New Roman"/>
            <w:noProof w:val="0"/>
            <w:sz w:val="20"/>
            <w:u w:val="none"/>
          </w:rPr>
          <w:t>).</w:t>
        </w:r>
      </w:hyperlink>
      <w:r w:rsidR="00374A5C" w:rsidRPr="00860BDA">
        <w:rPr>
          <w:rFonts w:ascii="Times New Roman" w:hAnsi="Times New Roman"/>
          <w:sz w:val="20"/>
          <w:szCs w:val="20"/>
        </w:rPr>
        <w:t xml:space="preserve">  T</w:t>
      </w:r>
      <w:r w:rsidRPr="00860BDA">
        <w:rPr>
          <w:rFonts w:ascii="Times New Roman" w:hAnsi="Times New Roman"/>
          <w:sz w:val="20"/>
          <w:szCs w:val="20"/>
        </w:rPr>
        <w:t xml:space="preserve">he latest version can also be reviewed in the API “reading room” at this </w:t>
      </w:r>
      <w:hyperlink r:id="rId26" w:history="1">
        <w:r w:rsidR="00374A5C" w:rsidRPr="001A33DE">
          <w:rPr>
            <w:rStyle w:val="Hyperlink"/>
            <w:rFonts w:ascii="Times New Roman" w:hAnsi="Times New Roman"/>
            <w:noProof w:val="0"/>
            <w:color w:val="0000FF"/>
            <w:sz w:val="20"/>
            <w:szCs w:val="20"/>
          </w:rPr>
          <w:t>www.api.org/products-and-services/standards/rights-and-usage-policy#tab-ibr-reading-room</w:t>
        </w:r>
      </w:hyperlink>
      <w:r w:rsidRPr="00860BDA">
        <w:rPr>
          <w:rFonts w:ascii="Times New Roman" w:hAnsi="Times New Roman"/>
          <w:sz w:val="20"/>
          <w:szCs w:val="20"/>
        </w:rPr>
        <w:t xml:space="preserve">. </w:t>
      </w:r>
      <w:r w:rsidR="00374A5C" w:rsidRPr="00860BDA">
        <w:rPr>
          <w:rFonts w:ascii="Times New Roman" w:hAnsi="Times New Roman"/>
          <w:sz w:val="20"/>
          <w:szCs w:val="20"/>
        </w:rPr>
        <w:t xml:space="preserve"> </w:t>
      </w:r>
      <w:r w:rsidRPr="00860BDA">
        <w:rPr>
          <w:rFonts w:ascii="Times New Roman" w:hAnsi="Times New Roman"/>
          <w:sz w:val="20"/>
          <w:szCs w:val="20"/>
        </w:rPr>
        <w:t xml:space="preserve">An account will need to be created, which is free, and then go to the “IBR Documents Under Construction” section to read it. </w:t>
      </w:r>
      <w:r w:rsidR="002B0241" w:rsidRPr="00860BDA">
        <w:rPr>
          <w:rFonts w:ascii="Times New Roman" w:hAnsi="Times New Roman"/>
          <w:sz w:val="20"/>
          <w:szCs w:val="20"/>
        </w:rPr>
        <w:t xml:space="preserve"> </w:t>
      </w:r>
      <w:r w:rsidRPr="00860BDA">
        <w:rPr>
          <w:rFonts w:ascii="Times New Roman" w:hAnsi="Times New Roman"/>
          <w:sz w:val="20"/>
          <w:szCs w:val="20"/>
        </w:rPr>
        <w:t xml:space="preserve">Ms. Kristy Moore (Growth Energy) commented that RP 1637 did not have input by </w:t>
      </w:r>
      <w:r w:rsidR="002B0241" w:rsidRPr="00860BDA">
        <w:rPr>
          <w:rFonts w:ascii="Times New Roman" w:hAnsi="Times New Roman"/>
          <w:sz w:val="20"/>
          <w:szCs w:val="20"/>
        </w:rPr>
        <w:t xml:space="preserve">ethanol industry, </w:t>
      </w:r>
      <w:r w:rsidRPr="00860BDA">
        <w:rPr>
          <w:rFonts w:ascii="Times New Roman" w:hAnsi="Times New Roman"/>
          <w:sz w:val="20"/>
          <w:szCs w:val="20"/>
        </w:rPr>
        <w:t xml:space="preserve">and they have their own industry standard. </w:t>
      </w:r>
      <w:r w:rsidR="002B0241" w:rsidRPr="00860BDA">
        <w:rPr>
          <w:rFonts w:ascii="Times New Roman" w:hAnsi="Times New Roman"/>
          <w:sz w:val="20"/>
          <w:szCs w:val="20"/>
        </w:rPr>
        <w:t xml:space="preserve"> </w:t>
      </w:r>
      <w:r w:rsidRPr="00860BDA">
        <w:rPr>
          <w:rFonts w:ascii="Times New Roman" w:hAnsi="Times New Roman"/>
          <w:sz w:val="20"/>
          <w:szCs w:val="20"/>
        </w:rPr>
        <w:t xml:space="preserve">Ms. Rebecca Richardson (National Biodiesel Board) while in support of the proposal she expressed concerns about the use of only colors to identify for those who may be color challenged. </w:t>
      </w:r>
      <w:r w:rsidR="002B0241" w:rsidRPr="00860BDA">
        <w:rPr>
          <w:rFonts w:ascii="Times New Roman" w:hAnsi="Times New Roman"/>
          <w:sz w:val="20"/>
          <w:szCs w:val="20"/>
        </w:rPr>
        <w:t xml:space="preserve"> </w:t>
      </w:r>
      <w:r w:rsidRPr="00860BDA">
        <w:rPr>
          <w:rFonts w:ascii="Times New Roman" w:hAnsi="Times New Roman"/>
          <w:sz w:val="20"/>
          <w:szCs w:val="20"/>
        </w:rPr>
        <w:t>Mr. Searles</w:t>
      </w:r>
      <w:r w:rsidR="001A33DE">
        <w:rPr>
          <w:rFonts w:ascii="Times New Roman" w:hAnsi="Times New Roman"/>
          <w:sz w:val="20"/>
          <w:szCs w:val="20"/>
        </w:rPr>
        <w:t xml:space="preserve"> </w:t>
      </w:r>
      <w:r w:rsidRPr="00860BDA">
        <w:rPr>
          <w:rFonts w:ascii="Times New Roman" w:hAnsi="Times New Roman"/>
          <w:sz w:val="20"/>
          <w:szCs w:val="20"/>
        </w:rPr>
        <w:t xml:space="preserve">noted the updated standard uses a combination of letters and colors. </w:t>
      </w:r>
    </w:p>
    <w:p w14:paraId="1E4B1530" w14:textId="6BD0C1B4" w:rsidR="002E0C15" w:rsidRPr="00281428" w:rsidRDefault="002E0C15" w:rsidP="00A157AD">
      <w:r w:rsidRPr="00281428">
        <w:t xml:space="preserve">The Committee recommends this item to be Withdrawn. </w:t>
      </w:r>
      <w:r w:rsidR="002B0241" w:rsidRPr="00281428">
        <w:t xml:space="preserve"> </w:t>
      </w:r>
      <w:r w:rsidRPr="00281428">
        <w:t>The Committee does not believe this item has merit as a weights and measures issue but may be an industry best practice</w:t>
      </w:r>
      <w:r w:rsidR="00A157AD" w:rsidRPr="00281428">
        <w:t>.</w:t>
      </w:r>
    </w:p>
    <w:p w14:paraId="745653C4" w14:textId="269F22EB" w:rsidR="00A157AD" w:rsidRDefault="00A157AD" w:rsidP="00A157AD">
      <w:pPr>
        <w:rPr>
          <w:rFonts w:eastAsia="Times New Roman"/>
          <w:szCs w:val="24"/>
        </w:rPr>
      </w:pPr>
      <w:r w:rsidRPr="00281428">
        <w:rPr>
          <w:bCs/>
          <w:u w:val="single"/>
        </w:rPr>
        <w:t>NEWMA 2020 Interim Meeting:</w:t>
      </w:r>
      <w:r w:rsidRPr="00281428">
        <w:rPr>
          <w:bCs/>
        </w:rPr>
        <w:t xml:space="preserve">  </w:t>
      </w:r>
      <w:r w:rsidR="002B0241" w:rsidRPr="00281428">
        <w:rPr>
          <w:rFonts w:eastAsia="Times New Roman"/>
          <w:szCs w:val="24"/>
        </w:rPr>
        <w:t>Mr.</w:t>
      </w:r>
      <w:r w:rsidRPr="00281428">
        <w:rPr>
          <w:rFonts w:eastAsia="Times New Roman"/>
          <w:szCs w:val="24"/>
        </w:rPr>
        <w:t xml:space="preserve"> Mike Sikula (</w:t>
      </w:r>
      <w:r w:rsidR="001A33DE">
        <w:rPr>
          <w:rFonts w:eastAsia="Times New Roman"/>
          <w:szCs w:val="24"/>
        </w:rPr>
        <w:t>NY</w:t>
      </w:r>
      <w:r w:rsidR="00E6007E" w:rsidRPr="00281428">
        <w:rPr>
          <w:rFonts w:eastAsia="Times New Roman"/>
          <w:szCs w:val="24"/>
        </w:rPr>
        <w:t>)</w:t>
      </w:r>
      <w:r w:rsidRPr="00281428">
        <w:rPr>
          <w:rFonts w:eastAsia="Times New Roman"/>
          <w:szCs w:val="24"/>
        </w:rPr>
        <w:t xml:space="preserve"> ask</w:t>
      </w:r>
      <w:r w:rsidR="002B0241" w:rsidRPr="00281428">
        <w:rPr>
          <w:rFonts w:eastAsia="Times New Roman"/>
          <w:szCs w:val="24"/>
        </w:rPr>
        <w:t>ed</w:t>
      </w:r>
      <w:r w:rsidRPr="00281428">
        <w:rPr>
          <w:rFonts w:eastAsia="Times New Roman"/>
          <w:szCs w:val="24"/>
        </w:rPr>
        <w:t xml:space="preserve"> how inspectors will confirm if the required labeling is correct</w:t>
      </w:r>
      <w:r w:rsidR="002B0241" w:rsidRPr="00281428">
        <w:rPr>
          <w:rFonts w:eastAsia="Times New Roman"/>
          <w:szCs w:val="24"/>
        </w:rPr>
        <w:t>?</w:t>
      </w:r>
      <w:r w:rsidRPr="00281428">
        <w:rPr>
          <w:rFonts w:eastAsia="Times New Roman"/>
          <w:szCs w:val="24"/>
        </w:rPr>
        <w:t xml:space="preserve">  </w:t>
      </w:r>
      <w:r w:rsidR="002B0241" w:rsidRPr="00281428">
        <w:rPr>
          <w:rFonts w:eastAsia="Times New Roman"/>
          <w:szCs w:val="24"/>
        </w:rPr>
        <w:t xml:space="preserve">Mr. </w:t>
      </w:r>
      <w:r w:rsidRPr="00281428">
        <w:rPr>
          <w:rFonts w:eastAsia="Times New Roman"/>
          <w:szCs w:val="24"/>
        </w:rPr>
        <w:t>Brent Price (Gilbarco) is not in support of this item</w:t>
      </w:r>
      <w:r w:rsidR="002B0241" w:rsidRPr="00281428">
        <w:rPr>
          <w:rFonts w:eastAsia="Times New Roman"/>
          <w:szCs w:val="24"/>
        </w:rPr>
        <w:t xml:space="preserve"> because he </w:t>
      </w:r>
      <w:r w:rsidRPr="00281428">
        <w:rPr>
          <w:rFonts w:eastAsia="Times New Roman"/>
          <w:szCs w:val="24"/>
        </w:rPr>
        <w:t xml:space="preserve">does not feel it is a weights and measures issue. </w:t>
      </w:r>
      <w:r w:rsidR="001903E1" w:rsidRPr="00281428">
        <w:rPr>
          <w:rFonts w:eastAsia="Times New Roman"/>
          <w:szCs w:val="24"/>
        </w:rPr>
        <w:t xml:space="preserve"> Mr. </w:t>
      </w:r>
      <w:r w:rsidRPr="00281428">
        <w:rPr>
          <w:rFonts w:eastAsia="Times New Roman"/>
          <w:szCs w:val="24"/>
        </w:rPr>
        <w:t>Ethan Bogren (Westchester Co</w:t>
      </w:r>
      <w:r w:rsidR="001A33DE">
        <w:rPr>
          <w:rFonts w:eastAsia="Times New Roman"/>
          <w:szCs w:val="24"/>
        </w:rPr>
        <w:t>.</w:t>
      </w:r>
      <w:r w:rsidRPr="00281428">
        <w:rPr>
          <w:rFonts w:eastAsia="Times New Roman"/>
          <w:szCs w:val="24"/>
        </w:rPr>
        <w:t xml:space="preserve">, </w:t>
      </w:r>
      <w:r w:rsidR="001A33DE">
        <w:rPr>
          <w:rFonts w:eastAsia="Times New Roman"/>
          <w:szCs w:val="24"/>
        </w:rPr>
        <w:t>NY</w:t>
      </w:r>
      <w:r w:rsidRPr="00281428">
        <w:rPr>
          <w:rFonts w:eastAsia="Times New Roman"/>
          <w:szCs w:val="24"/>
        </w:rPr>
        <w:t xml:space="preserve">) feels it would be useful for field inspectors to have confirmation as to which meter is for which product.  Mr. Bogren believes the item has </w:t>
      </w:r>
      <w:r w:rsidR="00140B35" w:rsidRPr="00281428">
        <w:rPr>
          <w:rFonts w:eastAsia="Times New Roman"/>
          <w:szCs w:val="24"/>
        </w:rPr>
        <w:t>merit but</w:t>
      </w:r>
      <w:r w:rsidRPr="00281428">
        <w:rPr>
          <w:rFonts w:eastAsia="Times New Roman"/>
          <w:szCs w:val="24"/>
        </w:rPr>
        <w:t xml:space="preserve"> recommends that the labeling be required on the meter rather than the piping. </w:t>
      </w:r>
      <w:r w:rsidR="001903E1" w:rsidRPr="00281428">
        <w:rPr>
          <w:rFonts w:eastAsia="Times New Roman"/>
          <w:szCs w:val="24"/>
        </w:rPr>
        <w:t xml:space="preserve"> Mr. </w:t>
      </w:r>
      <w:r w:rsidRPr="00281428">
        <w:rPr>
          <w:rFonts w:eastAsia="Times New Roman"/>
          <w:szCs w:val="24"/>
        </w:rPr>
        <w:t>Jason Flint (</w:t>
      </w:r>
      <w:r w:rsidR="001A33DE">
        <w:rPr>
          <w:rFonts w:eastAsia="Times New Roman"/>
          <w:szCs w:val="24"/>
        </w:rPr>
        <w:t>NJ</w:t>
      </w:r>
      <w:r w:rsidRPr="00281428">
        <w:rPr>
          <w:rFonts w:eastAsia="Times New Roman"/>
          <w:szCs w:val="24"/>
        </w:rPr>
        <w:t xml:space="preserve">) seconds that product labeling on the meter would be helpful.   The Committee wants to know what type of labeling would be used.  Color coding, octane value, product identification.  Mr. Bogren suggested that meter labels use same terminology as the product identification on the dispenser face. </w:t>
      </w:r>
      <w:r w:rsidR="00E6007E" w:rsidRPr="00281428">
        <w:rPr>
          <w:rFonts w:eastAsia="Times New Roman"/>
          <w:szCs w:val="24"/>
        </w:rPr>
        <w:t xml:space="preserve"> </w:t>
      </w:r>
      <w:r w:rsidRPr="00281428">
        <w:rPr>
          <w:rFonts w:eastAsia="Times New Roman"/>
          <w:szCs w:val="24"/>
        </w:rPr>
        <w:t xml:space="preserve">The Committee would like to see the developer revise language to require labeling on meters rather than piping. </w:t>
      </w:r>
      <w:r w:rsidR="001903E1" w:rsidRPr="00281428">
        <w:rPr>
          <w:rFonts w:eastAsia="Times New Roman"/>
          <w:szCs w:val="24"/>
        </w:rPr>
        <w:t xml:space="preserve"> </w:t>
      </w:r>
      <w:r w:rsidRPr="00281428">
        <w:rPr>
          <w:rFonts w:eastAsia="Times New Roman"/>
          <w:szCs w:val="24"/>
        </w:rPr>
        <w:t>Additionally, the developer should provide standardized terms for meter labeling for different products.  The Committee recommends this item as a Developing item for further development by the submitter.</w:t>
      </w:r>
    </w:p>
    <w:p w14:paraId="5897D5DC" w14:textId="7B098575" w:rsidR="00A06034" w:rsidRPr="00281428" w:rsidRDefault="00A06034" w:rsidP="00A157AD">
      <w:pPr>
        <w:rPr>
          <w:rFonts w:eastAsia="Times New Roman"/>
          <w:szCs w:val="24"/>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3169FE74" w14:textId="5C9EC186" w:rsidR="00A157AD" w:rsidRPr="00281428" w:rsidRDefault="00A157AD" w:rsidP="00A157AD">
      <w:pPr>
        <w:pStyle w:val="TableParagraph"/>
        <w:spacing w:after="240"/>
        <w:ind w:left="0" w:right="94"/>
        <w:jc w:val="both"/>
        <w:rPr>
          <w:bCs/>
          <w:sz w:val="20"/>
          <w:szCs w:val="20"/>
        </w:rPr>
      </w:pPr>
      <w:r w:rsidRPr="00281428">
        <w:rPr>
          <w:sz w:val="20"/>
          <w:szCs w:val="20"/>
          <w:u w:val="single"/>
        </w:rPr>
        <w:lastRenderedPageBreak/>
        <w:t>CWMA 2020 Interim Meeting:</w:t>
      </w:r>
      <w:r w:rsidRPr="00281428">
        <w:rPr>
          <w:sz w:val="20"/>
          <w:szCs w:val="20"/>
        </w:rPr>
        <w:t xml:space="preserve">  Mr. Charlie Stutesman (</w:t>
      </w:r>
      <w:r w:rsidR="00526A73">
        <w:rPr>
          <w:sz w:val="20"/>
          <w:szCs w:val="20"/>
        </w:rPr>
        <w:t>KS</w:t>
      </w:r>
      <w:r w:rsidRPr="00281428">
        <w:rPr>
          <w:sz w:val="20"/>
          <w:szCs w:val="20"/>
        </w:rPr>
        <w:t xml:space="preserve">) recommends this item be withdrawn. </w:t>
      </w:r>
      <w:r w:rsidR="001903E1" w:rsidRPr="00281428">
        <w:rPr>
          <w:sz w:val="20"/>
          <w:szCs w:val="20"/>
        </w:rPr>
        <w:t xml:space="preserve"> </w:t>
      </w:r>
      <w:r w:rsidRPr="00281428">
        <w:rPr>
          <w:sz w:val="20"/>
          <w:szCs w:val="20"/>
        </w:rPr>
        <w:t xml:space="preserve">While regulators inspect the inside of a cabinet, identifying supply lines neither impedes nor helps with inspections. </w:t>
      </w:r>
      <w:r w:rsidR="00A249B8" w:rsidRPr="00281428">
        <w:rPr>
          <w:sz w:val="20"/>
          <w:szCs w:val="20"/>
        </w:rPr>
        <w:t xml:space="preserve"> </w:t>
      </w:r>
      <w:r w:rsidRPr="00281428">
        <w:rPr>
          <w:sz w:val="20"/>
          <w:szCs w:val="20"/>
        </w:rPr>
        <w:t xml:space="preserve">He believes this is unnecessary. </w:t>
      </w:r>
      <w:r w:rsidR="001903E1" w:rsidRPr="00281428">
        <w:rPr>
          <w:sz w:val="20"/>
          <w:szCs w:val="20"/>
        </w:rPr>
        <w:t xml:space="preserve"> </w:t>
      </w:r>
      <w:r w:rsidRPr="00281428">
        <w:rPr>
          <w:sz w:val="20"/>
          <w:szCs w:val="20"/>
        </w:rPr>
        <w:t>The term “non-retroactive” does not appear anywhere else in Handbook 130 but instead uses an implementation date.</w:t>
      </w:r>
      <w:r w:rsidR="001903E1" w:rsidRPr="00281428">
        <w:rPr>
          <w:sz w:val="20"/>
          <w:szCs w:val="20"/>
        </w:rPr>
        <w:t xml:space="preserve"> </w:t>
      </w:r>
      <w:r w:rsidRPr="00281428">
        <w:rPr>
          <w:sz w:val="20"/>
          <w:szCs w:val="20"/>
        </w:rPr>
        <w:t xml:space="preserve"> Mr. Prentiss Searles (API) commented that he believes this item would be difficult to implement especially at the manufacturing level and should be withdrawn.</w:t>
      </w:r>
      <w:r w:rsidR="00A249B8" w:rsidRPr="00281428">
        <w:rPr>
          <w:sz w:val="20"/>
          <w:szCs w:val="20"/>
        </w:rPr>
        <w:t xml:space="preserve"> </w:t>
      </w:r>
      <w:r w:rsidRPr="00281428">
        <w:rPr>
          <w:sz w:val="20"/>
          <w:szCs w:val="20"/>
        </w:rPr>
        <w:t xml:space="preserve"> </w:t>
      </w:r>
      <w:r w:rsidR="00526A73">
        <w:rPr>
          <w:sz w:val="20"/>
          <w:szCs w:val="20"/>
        </w:rPr>
        <w:t>Mr. Searles</w:t>
      </w:r>
      <w:r w:rsidRPr="00281428">
        <w:rPr>
          <w:sz w:val="20"/>
          <w:szCs w:val="20"/>
        </w:rPr>
        <w:t xml:space="preserve"> suggested this item might be more appropriate as a best practice.  Mr. John Albert (</w:t>
      </w:r>
      <w:r w:rsidR="00526A73">
        <w:rPr>
          <w:sz w:val="20"/>
          <w:szCs w:val="20"/>
        </w:rPr>
        <w:t>MO</w:t>
      </w:r>
      <w:r w:rsidRPr="00281428">
        <w:rPr>
          <w:sz w:val="20"/>
          <w:szCs w:val="20"/>
        </w:rPr>
        <w:t xml:space="preserve">) commented that he concurs the item should be </w:t>
      </w:r>
      <w:r w:rsidR="00526A73">
        <w:rPr>
          <w:sz w:val="20"/>
          <w:szCs w:val="20"/>
        </w:rPr>
        <w:t>W</w:t>
      </w:r>
      <w:r w:rsidRPr="00281428">
        <w:rPr>
          <w:sz w:val="20"/>
          <w:szCs w:val="20"/>
        </w:rPr>
        <w:t>ithdrawn.</w:t>
      </w:r>
      <w:r w:rsidR="001903E1" w:rsidRPr="00281428">
        <w:rPr>
          <w:sz w:val="20"/>
          <w:szCs w:val="20"/>
        </w:rPr>
        <w:t xml:space="preserve"> </w:t>
      </w:r>
      <w:r w:rsidRPr="00281428">
        <w:rPr>
          <w:sz w:val="20"/>
          <w:szCs w:val="20"/>
        </w:rPr>
        <w:t xml:space="preserve"> Ms. Kristy Moore (Growth Energy) commented that API RP1637 did not include many ethanol blends for decades, and she does not believe regulations</w:t>
      </w:r>
      <w:r w:rsidRPr="00281428">
        <w:rPr>
          <w:spacing w:val="-4"/>
          <w:sz w:val="20"/>
          <w:szCs w:val="20"/>
        </w:rPr>
        <w:t xml:space="preserve"> </w:t>
      </w:r>
      <w:r w:rsidRPr="00281428">
        <w:rPr>
          <w:sz w:val="20"/>
          <w:szCs w:val="20"/>
        </w:rPr>
        <w:t>should</w:t>
      </w:r>
      <w:r w:rsidRPr="00281428">
        <w:rPr>
          <w:spacing w:val="-4"/>
          <w:sz w:val="20"/>
          <w:szCs w:val="20"/>
        </w:rPr>
        <w:t xml:space="preserve"> </w:t>
      </w:r>
      <w:r w:rsidRPr="00281428">
        <w:rPr>
          <w:sz w:val="20"/>
          <w:szCs w:val="20"/>
        </w:rPr>
        <w:t>be</w:t>
      </w:r>
      <w:r w:rsidRPr="00281428">
        <w:rPr>
          <w:spacing w:val="-2"/>
          <w:sz w:val="20"/>
          <w:szCs w:val="20"/>
        </w:rPr>
        <w:t xml:space="preserve"> </w:t>
      </w:r>
      <w:r w:rsidRPr="00281428">
        <w:rPr>
          <w:sz w:val="20"/>
          <w:szCs w:val="20"/>
        </w:rPr>
        <w:t>implemented</w:t>
      </w:r>
      <w:r w:rsidRPr="00281428">
        <w:rPr>
          <w:spacing w:val="-1"/>
          <w:sz w:val="20"/>
          <w:szCs w:val="20"/>
        </w:rPr>
        <w:t xml:space="preserve"> </w:t>
      </w:r>
      <w:r w:rsidRPr="00281428">
        <w:rPr>
          <w:sz w:val="20"/>
          <w:szCs w:val="20"/>
        </w:rPr>
        <w:t>that</w:t>
      </w:r>
      <w:r w:rsidRPr="00281428">
        <w:rPr>
          <w:spacing w:val="-4"/>
          <w:sz w:val="20"/>
          <w:szCs w:val="20"/>
        </w:rPr>
        <w:t xml:space="preserve"> </w:t>
      </w:r>
      <w:r w:rsidRPr="00281428">
        <w:rPr>
          <w:sz w:val="20"/>
          <w:szCs w:val="20"/>
        </w:rPr>
        <w:t>require</w:t>
      </w:r>
      <w:r w:rsidRPr="00281428">
        <w:rPr>
          <w:spacing w:val="-2"/>
          <w:sz w:val="20"/>
          <w:szCs w:val="20"/>
        </w:rPr>
        <w:t xml:space="preserve"> </w:t>
      </w:r>
      <w:r w:rsidRPr="00281428">
        <w:rPr>
          <w:sz w:val="20"/>
          <w:szCs w:val="20"/>
        </w:rPr>
        <w:t>a</w:t>
      </w:r>
      <w:r w:rsidRPr="00281428">
        <w:rPr>
          <w:spacing w:val="-4"/>
          <w:sz w:val="20"/>
          <w:szCs w:val="20"/>
        </w:rPr>
        <w:t xml:space="preserve"> </w:t>
      </w:r>
      <w:r w:rsidRPr="00281428">
        <w:rPr>
          <w:sz w:val="20"/>
          <w:szCs w:val="20"/>
        </w:rPr>
        <w:t>purchase</w:t>
      </w:r>
      <w:r w:rsidRPr="00281428">
        <w:rPr>
          <w:spacing w:val="-2"/>
          <w:sz w:val="20"/>
          <w:szCs w:val="20"/>
        </w:rPr>
        <w:t xml:space="preserve"> </w:t>
      </w:r>
      <w:r w:rsidRPr="00281428">
        <w:rPr>
          <w:sz w:val="20"/>
          <w:szCs w:val="20"/>
        </w:rPr>
        <w:t>of</w:t>
      </w:r>
      <w:r w:rsidRPr="00281428">
        <w:rPr>
          <w:spacing w:val="-2"/>
          <w:sz w:val="20"/>
          <w:szCs w:val="20"/>
        </w:rPr>
        <w:t xml:space="preserve"> </w:t>
      </w:r>
      <w:r w:rsidRPr="00281428">
        <w:rPr>
          <w:sz w:val="20"/>
          <w:szCs w:val="20"/>
        </w:rPr>
        <w:t>a</w:t>
      </w:r>
      <w:r w:rsidRPr="00281428">
        <w:rPr>
          <w:spacing w:val="-2"/>
          <w:sz w:val="20"/>
          <w:szCs w:val="20"/>
        </w:rPr>
        <w:t xml:space="preserve"> </w:t>
      </w:r>
      <w:r w:rsidRPr="00281428">
        <w:rPr>
          <w:sz w:val="20"/>
          <w:szCs w:val="20"/>
        </w:rPr>
        <w:t>resource.</w:t>
      </w:r>
      <w:r w:rsidRPr="00281428">
        <w:rPr>
          <w:spacing w:val="-4"/>
          <w:sz w:val="20"/>
          <w:szCs w:val="20"/>
        </w:rPr>
        <w:t xml:space="preserve"> </w:t>
      </w:r>
      <w:r w:rsidR="001903E1" w:rsidRPr="00281428">
        <w:rPr>
          <w:spacing w:val="-4"/>
          <w:sz w:val="20"/>
          <w:szCs w:val="20"/>
        </w:rPr>
        <w:t xml:space="preserve"> </w:t>
      </w:r>
      <w:r w:rsidRPr="00281428">
        <w:rPr>
          <w:sz w:val="20"/>
          <w:szCs w:val="20"/>
        </w:rPr>
        <w:t>She</w:t>
      </w:r>
      <w:r w:rsidRPr="00281428">
        <w:rPr>
          <w:spacing w:val="-2"/>
          <w:sz w:val="20"/>
          <w:szCs w:val="20"/>
        </w:rPr>
        <w:t xml:space="preserve"> </w:t>
      </w:r>
      <w:r w:rsidRPr="00281428">
        <w:rPr>
          <w:sz w:val="20"/>
          <w:szCs w:val="20"/>
        </w:rPr>
        <w:t>agrees</w:t>
      </w:r>
      <w:r w:rsidRPr="00281428">
        <w:rPr>
          <w:spacing w:val="-3"/>
          <w:sz w:val="20"/>
          <w:szCs w:val="20"/>
        </w:rPr>
        <w:t xml:space="preserve"> </w:t>
      </w:r>
      <w:r w:rsidRPr="00281428">
        <w:rPr>
          <w:sz w:val="20"/>
          <w:szCs w:val="20"/>
        </w:rPr>
        <w:t>that</w:t>
      </w:r>
      <w:r w:rsidRPr="00281428">
        <w:rPr>
          <w:spacing w:val="-3"/>
          <w:sz w:val="20"/>
          <w:szCs w:val="20"/>
        </w:rPr>
        <w:t xml:space="preserve"> </w:t>
      </w:r>
      <w:r w:rsidRPr="00281428">
        <w:rPr>
          <w:sz w:val="20"/>
          <w:szCs w:val="20"/>
        </w:rPr>
        <w:t>the</w:t>
      </w:r>
      <w:r w:rsidRPr="00281428">
        <w:rPr>
          <w:spacing w:val="-2"/>
          <w:sz w:val="20"/>
          <w:szCs w:val="20"/>
        </w:rPr>
        <w:t xml:space="preserve"> </w:t>
      </w:r>
      <w:r w:rsidRPr="00281428">
        <w:rPr>
          <w:sz w:val="20"/>
          <w:szCs w:val="20"/>
        </w:rPr>
        <w:t>item</w:t>
      </w:r>
      <w:r w:rsidRPr="00281428">
        <w:rPr>
          <w:spacing w:val="-1"/>
          <w:sz w:val="20"/>
          <w:szCs w:val="20"/>
        </w:rPr>
        <w:t xml:space="preserve"> </w:t>
      </w:r>
      <w:r w:rsidRPr="00281428">
        <w:rPr>
          <w:sz w:val="20"/>
          <w:szCs w:val="20"/>
        </w:rPr>
        <w:t>should</w:t>
      </w:r>
      <w:r w:rsidRPr="00281428">
        <w:rPr>
          <w:spacing w:val="-1"/>
          <w:sz w:val="20"/>
          <w:szCs w:val="20"/>
        </w:rPr>
        <w:t xml:space="preserve"> </w:t>
      </w:r>
      <w:r w:rsidRPr="00281428">
        <w:rPr>
          <w:sz w:val="20"/>
          <w:szCs w:val="20"/>
        </w:rPr>
        <w:t>not</w:t>
      </w:r>
      <w:r w:rsidRPr="00281428">
        <w:rPr>
          <w:spacing w:val="-3"/>
          <w:sz w:val="20"/>
          <w:szCs w:val="20"/>
        </w:rPr>
        <w:t xml:space="preserve"> </w:t>
      </w:r>
      <w:r w:rsidRPr="00281428">
        <w:rPr>
          <w:sz w:val="20"/>
          <w:szCs w:val="20"/>
        </w:rPr>
        <w:t xml:space="preserve">move forward at this time without consideration that API RP1637 did not include ethanol blends for a long time. </w:t>
      </w:r>
      <w:r w:rsidR="001903E1" w:rsidRPr="00281428">
        <w:rPr>
          <w:sz w:val="20"/>
          <w:szCs w:val="20"/>
        </w:rPr>
        <w:t xml:space="preserve"> </w:t>
      </w:r>
      <w:r w:rsidRPr="00281428">
        <w:rPr>
          <w:sz w:val="20"/>
          <w:szCs w:val="20"/>
        </w:rPr>
        <w:t>Mr. Doug Rathbun (</w:t>
      </w:r>
      <w:r w:rsidR="001B79DC">
        <w:rPr>
          <w:sz w:val="20"/>
          <w:szCs w:val="20"/>
        </w:rPr>
        <w:t>IL</w:t>
      </w:r>
      <w:r w:rsidRPr="00281428">
        <w:rPr>
          <w:sz w:val="20"/>
          <w:szCs w:val="20"/>
        </w:rPr>
        <w:t xml:space="preserve">) recommends the item be withdrawn. </w:t>
      </w:r>
      <w:r w:rsidR="001903E1" w:rsidRPr="00281428">
        <w:rPr>
          <w:sz w:val="20"/>
          <w:szCs w:val="20"/>
        </w:rPr>
        <w:t xml:space="preserve"> </w:t>
      </w:r>
      <w:r w:rsidRPr="00281428">
        <w:rPr>
          <w:sz w:val="20"/>
          <w:szCs w:val="20"/>
        </w:rPr>
        <w:t xml:space="preserve">Mr. Searles commented that the API </w:t>
      </w:r>
      <w:r w:rsidR="00A249B8" w:rsidRPr="00281428">
        <w:rPr>
          <w:sz w:val="20"/>
          <w:szCs w:val="20"/>
        </w:rPr>
        <w:t xml:space="preserve">RP 1637 </w:t>
      </w:r>
      <w:r w:rsidRPr="00281428">
        <w:rPr>
          <w:sz w:val="20"/>
          <w:szCs w:val="20"/>
        </w:rPr>
        <w:t>is</w:t>
      </w:r>
      <w:r w:rsidRPr="00281428">
        <w:rPr>
          <w:spacing w:val="-10"/>
          <w:sz w:val="20"/>
          <w:szCs w:val="20"/>
        </w:rPr>
        <w:t xml:space="preserve"> </w:t>
      </w:r>
      <w:r w:rsidRPr="00281428">
        <w:rPr>
          <w:sz w:val="20"/>
          <w:szCs w:val="20"/>
        </w:rPr>
        <w:t>available</w:t>
      </w:r>
      <w:r w:rsidRPr="00281428">
        <w:rPr>
          <w:spacing w:val="-11"/>
          <w:sz w:val="20"/>
          <w:szCs w:val="20"/>
        </w:rPr>
        <w:t xml:space="preserve"> </w:t>
      </w:r>
      <w:r w:rsidRPr="00281428">
        <w:rPr>
          <w:sz w:val="20"/>
          <w:szCs w:val="20"/>
        </w:rPr>
        <w:t>for</w:t>
      </w:r>
      <w:r w:rsidRPr="00281428">
        <w:rPr>
          <w:spacing w:val="-9"/>
          <w:sz w:val="20"/>
          <w:szCs w:val="20"/>
        </w:rPr>
        <w:t xml:space="preserve"> </w:t>
      </w:r>
      <w:r w:rsidRPr="00281428">
        <w:rPr>
          <w:sz w:val="20"/>
          <w:szCs w:val="20"/>
        </w:rPr>
        <w:t>anyone</w:t>
      </w:r>
      <w:r w:rsidRPr="00281428">
        <w:rPr>
          <w:spacing w:val="-10"/>
          <w:sz w:val="20"/>
          <w:szCs w:val="20"/>
        </w:rPr>
        <w:t xml:space="preserve"> </w:t>
      </w:r>
      <w:r w:rsidRPr="00281428">
        <w:rPr>
          <w:sz w:val="20"/>
          <w:szCs w:val="20"/>
        </w:rPr>
        <w:t>to</w:t>
      </w:r>
      <w:r w:rsidRPr="00281428">
        <w:rPr>
          <w:spacing w:val="-11"/>
          <w:sz w:val="20"/>
          <w:szCs w:val="20"/>
        </w:rPr>
        <w:t xml:space="preserve"> </w:t>
      </w:r>
      <w:r w:rsidRPr="00281428">
        <w:rPr>
          <w:sz w:val="20"/>
          <w:szCs w:val="20"/>
        </w:rPr>
        <w:t>review</w:t>
      </w:r>
      <w:r w:rsidRPr="00281428">
        <w:rPr>
          <w:spacing w:val="-9"/>
          <w:sz w:val="20"/>
          <w:szCs w:val="20"/>
        </w:rPr>
        <w:t xml:space="preserve"> </w:t>
      </w:r>
      <w:r w:rsidRPr="00281428">
        <w:rPr>
          <w:sz w:val="20"/>
          <w:szCs w:val="20"/>
        </w:rPr>
        <w:t>online</w:t>
      </w:r>
      <w:r w:rsidRPr="00281428">
        <w:rPr>
          <w:spacing w:val="-6"/>
          <w:sz w:val="20"/>
          <w:szCs w:val="20"/>
        </w:rPr>
        <w:t xml:space="preserve"> </w:t>
      </w:r>
      <w:r w:rsidRPr="00281428">
        <w:rPr>
          <w:sz w:val="20"/>
          <w:szCs w:val="20"/>
        </w:rPr>
        <w:t>through</w:t>
      </w:r>
      <w:r w:rsidRPr="00281428">
        <w:rPr>
          <w:spacing w:val="-12"/>
          <w:sz w:val="20"/>
          <w:szCs w:val="20"/>
        </w:rPr>
        <w:t xml:space="preserve"> </w:t>
      </w:r>
      <w:r w:rsidRPr="00281428">
        <w:rPr>
          <w:sz w:val="20"/>
          <w:szCs w:val="20"/>
        </w:rPr>
        <w:t>the</w:t>
      </w:r>
      <w:r w:rsidRPr="00281428">
        <w:rPr>
          <w:spacing w:val="-9"/>
          <w:sz w:val="20"/>
          <w:szCs w:val="20"/>
        </w:rPr>
        <w:t xml:space="preserve"> </w:t>
      </w:r>
      <w:r w:rsidRPr="00281428">
        <w:rPr>
          <w:sz w:val="20"/>
          <w:szCs w:val="20"/>
        </w:rPr>
        <w:t>API</w:t>
      </w:r>
      <w:r w:rsidRPr="00281428">
        <w:rPr>
          <w:spacing w:val="-9"/>
          <w:sz w:val="20"/>
          <w:szCs w:val="20"/>
        </w:rPr>
        <w:t xml:space="preserve"> </w:t>
      </w:r>
      <w:r w:rsidRPr="00281428">
        <w:rPr>
          <w:sz w:val="20"/>
          <w:szCs w:val="20"/>
        </w:rPr>
        <w:t>reading</w:t>
      </w:r>
      <w:r w:rsidRPr="00281428">
        <w:rPr>
          <w:spacing w:val="-10"/>
          <w:sz w:val="20"/>
          <w:szCs w:val="20"/>
        </w:rPr>
        <w:t xml:space="preserve"> </w:t>
      </w:r>
      <w:r w:rsidRPr="00281428">
        <w:rPr>
          <w:sz w:val="20"/>
          <w:szCs w:val="20"/>
        </w:rPr>
        <w:t>room.</w:t>
      </w:r>
      <w:r w:rsidRPr="00281428">
        <w:rPr>
          <w:spacing w:val="31"/>
          <w:sz w:val="20"/>
          <w:szCs w:val="20"/>
        </w:rPr>
        <w:t xml:space="preserve"> </w:t>
      </w:r>
      <w:r w:rsidR="001903E1" w:rsidRPr="00281428">
        <w:rPr>
          <w:spacing w:val="31"/>
          <w:sz w:val="20"/>
          <w:szCs w:val="20"/>
        </w:rPr>
        <w:t xml:space="preserve"> </w:t>
      </w:r>
      <w:r w:rsidRPr="00281428">
        <w:rPr>
          <w:sz w:val="20"/>
          <w:szCs w:val="20"/>
        </w:rPr>
        <w:t>Based</w:t>
      </w:r>
      <w:r w:rsidRPr="00281428">
        <w:rPr>
          <w:spacing w:val="-11"/>
          <w:sz w:val="20"/>
          <w:szCs w:val="20"/>
        </w:rPr>
        <w:t xml:space="preserve"> </w:t>
      </w:r>
      <w:r w:rsidRPr="00281428">
        <w:rPr>
          <w:sz w:val="20"/>
          <w:szCs w:val="20"/>
        </w:rPr>
        <w:t>on</w:t>
      </w:r>
      <w:r w:rsidRPr="00281428">
        <w:rPr>
          <w:spacing w:val="-8"/>
          <w:sz w:val="20"/>
          <w:szCs w:val="20"/>
        </w:rPr>
        <w:t xml:space="preserve"> </w:t>
      </w:r>
      <w:r w:rsidRPr="00281428">
        <w:rPr>
          <w:sz w:val="20"/>
          <w:szCs w:val="20"/>
        </w:rPr>
        <w:t>the</w:t>
      </w:r>
      <w:r w:rsidRPr="00281428">
        <w:rPr>
          <w:spacing w:val="-10"/>
          <w:sz w:val="20"/>
          <w:szCs w:val="20"/>
        </w:rPr>
        <w:t xml:space="preserve"> </w:t>
      </w:r>
      <w:r w:rsidRPr="00281428">
        <w:rPr>
          <w:sz w:val="20"/>
          <w:szCs w:val="20"/>
        </w:rPr>
        <w:t>discussions</w:t>
      </w:r>
      <w:r w:rsidRPr="00281428">
        <w:rPr>
          <w:spacing w:val="-10"/>
          <w:sz w:val="20"/>
          <w:szCs w:val="20"/>
        </w:rPr>
        <w:t xml:space="preserve"> </w:t>
      </w:r>
      <w:r w:rsidRPr="00281428">
        <w:rPr>
          <w:sz w:val="20"/>
          <w:szCs w:val="20"/>
        </w:rPr>
        <w:t>heard during open hearings and during the work session, the Committee recommends this item be Withdrawn.</w:t>
      </w:r>
    </w:p>
    <w:p w14:paraId="4A3D8231" w14:textId="0F397447" w:rsidR="00D62CDC" w:rsidRPr="00281428" w:rsidRDefault="00D62CDC" w:rsidP="00A157AD">
      <w:pPr>
        <w:rPr>
          <w:bCs/>
        </w:rPr>
      </w:pPr>
      <w:r w:rsidRPr="00281428">
        <w:rPr>
          <w:bCs/>
        </w:rPr>
        <w:t xml:space="preserve">Additional letters, presentation and data may have been submitted for consideration with this item. Please refer to </w:t>
      </w:r>
      <w:hyperlink r:id="rId27" w:history="1">
        <w:r w:rsidR="00F222FE" w:rsidRPr="00A766AF">
          <w:rPr>
            <w:rStyle w:val="Hyperlink"/>
            <w:noProof w:val="0"/>
            <w:color w:val="0000FF"/>
          </w:rPr>
          <w:t>https://www.ncwm.com/publication-16</w:t>
        </w:r>
      </w:hyperlink>
      <w:r w:rsidR="00A13B4E" w:rsidRPr="00281428">
        <w:rPr>
          <w:bCs/>
        </w:rPr>
        <w:t xml:space="preserve"> </w:t>
      </w:r>
      <w:r w:rsidRPr="00281428">
        <w:rPr>
          <w:bCs/>
        </w:rPr>
        <w:t>to review these documents.</w:t>
      </w:r>
    </w:p>
    <w:p w14:paraId="0D3A8508" w14:textId="416898BA" w:rsidR="00FC537E" w:rsidRPr="00281428" w:rsidRDefault="00FC537E" w:rsidP="00375815">
      <w:pPr>
        <w:pStyle w:val="Heading1"/>
        <w:ind w:left="2880" w:hanging="2880"/>
      </w:pPr>
      <w:bookmarkStart w:id="90" w:name="_Toc61611601"/>
      <w:bookmarkStart w:id="91" w:name="_Toc65741443"/>
      <w:bookmarkStart w:id="92" w:name="_Hlk31791458"/>
      <w:r w:rsidRPr="00281428">
        <w:rPr>
          <w:rStyle w:val="Heading1Char"/>
          <w:rFonts w:eastAsia="Calibri"/>
          <w:b/>
          <w:bCs/>
          <w:caps/>
        </w:rPr>
        <w:t>ITEM Block 3 (B3)</w:t>
      </w:r>
      <w:r w:rsidRPr="00281428">
        <w:rPr>
          <w:rStyle w:val="Heading1Char"/>
          <w:rFonts w:eastAsia="Calibri"/>
          <w:b/>
          <w:bCs/>
          <w:caps/>
        </w:rPr>
        <w:tab/>
        <w:t>Method of Sale, SEction 2.33. OiL.  Fuels and Automotive Regs. Sections 2.14.  Engine (Motor) Oil, 3.13. Oil, and</w:t>
      </w:r>
      <w:r w:rsidRPr="00281428">
        <w:t xml:space="preserve"> 7.2. Reproducibility Limits</w:t>
      </w:r>
      <w:bookmarkStart w:id="93" w:name="_Hlk2072854"/>
      <w:bookmarkStart w:id="94" w:name="_Hlk520791201"/>
      <w:bookmarkEnd w:id="90"/>
      <w:bookmarkEnd w:id="91"/>
    </w:p>
    <w:p w14:paraId="190E38A9" w14:textId="674ADFD3" w:rsidR="00FC537E" w:rsidRPr="000A4892" w:rsidRDefault="000A4892">
      <w:pPr>
        <w:rPr>
          <w:szCs w:val="20"/>
        </w:rPr>
      </w:pPr>
      <w:bookmarkStart w:id="95" w:name="_Hlk61602970"/>
      <w:bookmarkStart w:id="96" w:name="_Toc1219558"/>
      <w:bookmarkEnd w:id="93"/>
      <w:r w:rsidRPr="000A4892">
        <w:rPr>
          <w:szCs w:val="20"/>
        </w:rPr>
        <w:t>These items were designated as a “Voting” item</w:t>
      </w:r>
      <w:r w:rsidR="0009570B">
        <w:rPr>
          <w:szCs w:val="20"/>
        </w:rPr>
        <w:t>s</w:t>
      </w:r>
      <w:r w:rsidRPr="000A4892">
        <w:rPr>
          <w:szCs w:val="20"/>
        </w:rPr>
        <w:t xml:space="preserve"> by the Committee at the 2020 NCWM Interim Meeting.    Based upon comments received at the 2020 NCWM Annual Meeting, the L&amp;R Committee deemed these item</w:t>
      </w:r>
      <w:r>
        <w:rPr>
          <w:szCs w:val="20"/>
        </w:rPr>
        <w:t>s</w:t>
      </w:r>
      <w:r w:rsidRPr="000A4892">
        <w:rPr>
          <w:szCs w:val="20"/>
        </w:rPr>
        <w:t xml:space="preserve"> not to be fully developed and changed the status to Informational.  At the 2021 NCWM Interim Meeting the Committee modified the Item under Consideration and recommended this as a Voting item at the 2021 NCWM Annual Meeting.</w:t>
      </w:r>
    </w:p>
    <w:p w14:paraId="51A05A13" w14:textId="5495CE8C" w:rsidR="00FC537E" w:rsidRPr="00281428" w:rsidRDefault="00FC537E" w:rsidP="00375815">
      <w:pPr>
        <w:tabs>
          <w:tab w:val="left" w:pos="1440"/>
        </w:tabs>
        <w:spacing w:after="0"/>
        <w:ind w:left="1800" w:hanging="1800"/>
        <w:outlineLvl w:val="3"/>
        <w:rPr>
          <w:rFonts w:eastAsia="Times New Roman"/>
          <w:bCs/>
          <w:iCs/>
          <w:szCs w:val="20"/>
        </w:rPr>
      </w:pPr>
      <w:bookmarkStart w:id="97" w:name="_Toc1219559"/>
      <w:bookmarkStart w:id="98" w:name="_Toc497996303"/>
      <w:bookmarkEnd w:id="95"/>
      <w:bookmarkEnd w:id="96"/>
      <w:r w:rsidRPr="00281428">
        <w:rPr>
          <w:rFonts w:eastAsia="Times New Roman"/>
          <w:bCs/>
          <w:iCs/>
          <w:szCs w:val="20"/>
        </w:rPr>
        <w:t>B3: MOS-18.1</w:t>
      </w:r>
      <w:r w:rsidRPr="00281428">
        <w:rPr>
          <w:rFonts w:eastAsia="Times New Roman"/>
          <w:bCs/>
          <w:iCs/>
          <w:szCs w:val="20"/>
        </w:rPr>
        <w:tab/>
      </w:r>
      <w:r w:rsidR="00FD3E8C" w:rsidRPr="00281428">
        <w:rPr>
          <w:rFonts w:eastAsia="Times New Roman"/>
          <w:bCs/>
          <w:iCs/>
          <w:szCs w:val="20"/>
        </w:rPr>
        <w:t>V</w:t>
      </w:r>
      <w:r w:rsidRPr="00281428">
        <w:rPr>
          <w:rFonts w:eastAsia="Times New Roman"/>
          <w:bCs/>
          <w:iCs/>
          <w:szCs w:val="20"/>
        </w:rPr>
        <w:tab/>
        <w:t>Section 2.33.  Oil</w:t>
      </w:r>
      <w:bookmarkEnd w:id="97"/>
      <w:r w:rsidRPr="00281428">
        <w:rPr>
          <w:rFonts w:eastAsia="Times New Roman"/>
          <w:bCs/>
          <w:iCs/>
          <w:szCs w:val="20"/>
        </w:rPr>
        <w:t xml:space="preserve"> </w:t>
      </w:r>
      <w:bookmarkEnd w:id="98"/>
    </w:p>
    <w:p w14:paraId="0FAC6AF7" w14:textId="40B65283" w:rsidR="00FC537E" w:rsidRPr="00281428" w:rsidRDefault="00FC537E" w:rsidP="00375815">
      <w:pPr>
        <w:tabs>
          <w:tab w:val="left" w:pos="1440"/>
        </w:tabs>
        <w:ind w:left="1800" w:hanging="1800"/>
        <w:outlineLvl w:val="3"/>
        <w:rPr>
          <w:rFonts w:eastAsia="Times New Roman"/>
          <w:bCs/>
          <w:iCs/>
          <w:szCs w:val="20"/>
        </w:rPr>
      </w:pPr>
      <w:bookmarkStart w:id="99" w:name="_Toc1219560"/>
      <w:bookmarkStart w:id="100" w:name="_Toc497996304"/>
      <w:r w:rsidRPr="00281428">
        <w:rPr>
          <w:rFonts w:eastAsia="Times New Roman"/>
          <w:bCs/>
          <w:iCs/>
          <w:szCs w:val="20"/>
        </w:rPr>
        <w:t>B3: FLR-18.1</w:t>
      </w:r>
      <w:r w:rsidRPr="00281428">
        <w:rPr>
          <w:rFonts w:eastAsia="Times New Roman"/>
          <w:bCs/>
          <w:iCs/>
          <w:szCs w:val="20"/>
        </w:rPr>
        <w:tab/>
      </w:r>
      <w:r w:rsidR="00FD3E8C" w:rsidRPr="00281428">
        <w:rPr>
          <w:rFonts w:eastAsia="Times New Roman"/>
          <w:bCs/>
          <w:iCs/>
          <w:szCs w:val="20"/>
        </w:rPr>
        <w:t>V</w:t>
      </w:r>
      <w:r w:rsidRPr="00281428">
        <w:rPr>
          <w:rFonts w:eastAsia="Times New Roman"/>
          <w:bCs/>
          <w:iCs/>
          <w:szCs w:val="20"/>
        </w:rPr>
        <w:tab/>
        <w:t>Sections 2.14.  Engine (Motor) Oil, 3.13. Oil and 7.2. Reproducibility Limits.</w:t>
      </w:r>
      <w:bookmarkEnd w:id="99"/>
      <w:r w:rsidRPr="00281428">
        <w:rPr>
          <w:rFonts w:eastAsia="Times New Roman"/>
          <w:bCs/>
          <w:iCs/>
          <w:szCs w:val="20"/>
        </w:rPr>
        <w:t xml:space="preserve">  </w:t>
      </w:r>
      <w:bookmarkEnd w:id="100"/>
    </w:p>
    <w:p w14:paraId="649033F6" w14:textId="59E48060" w:rsidR="00FC537E" w:rsidRPr="00281428" w:rsidRDefault="00FC537E" w:rsidP="00375815">
      <w:pPr>
        <w:pStyle w:val="ItemHeading"/>
        <w:keepNext w:val="0"/>
        <w:keepLines w:val="0"/>
        <w:tabs>
          <w:tab w:val="clear" w:pos="900"/>
          <w:tab w:val="left" w:pos="2160"/>
        </w:tabs>
        <w:ind w:left="1620" w:hanging="1620"/>
      </w:pPr>
      <w:bookmarkStart w:id="101" w:name="_Toc61611602"/>
      <w:bookmarkStart w:id="102" w:name="_Toc65741444"/>
      <w:bookmarkEnd w:id="94"/>
      <w:r w:rsidRPr="00281428">
        <w:t>B3: MOS-18.1</w:t>
      </w:r>
      <w:r w:rsidRPr="00281428">
        <w:tab/>
      </w:r>
      <w:r w:rsidR="00FD3E8C" w:rsidRPr="00281428">
        <w:rPr>
          <w:color w:val="000000" w:themeColor="text1"/>
        </w:rPr>
        <w:t>V</w:t>
      </w:r>
      <w:r w:rsidRPr="00281428">
        <w:tab/>
        <w:t>Section 2.33. Oil</w:t>
      </w:r>
      <w:bookmarkEnd w:id="101"/>
      <w:bookmarkEnd w:id="102"/>
    </w:p>
    <w:p w14:paraId="0B2640FB" w14:textId="77777777" w:rsidR="00FC537E" w:rsidRPr="00281428" w:rsidRDefault="00FC537E" w:rsidP="00375815">
      <w:pPr>
        <w:spacing w:after="0"/>
        <w:rPr>
          <w:b/>
          <w:szCs w:val="20"/>
        </w:rPr>
      </w:pPr>
      <w:r w:rsidRPr="00281428">
        <w:rPr>
          <w:b/>
          <w:szCs w:val="20"/>
        </w:rPr>
        <w:t>Item Under Consideration:</w:t>
      </w:r>
    </w:p>
    <w:p w14:paraId="5597A424" w14:textId="43825F25" w:rsidR="00FC537E" w:rsidRPr="00281428" w:rsidRDefault="00FC537E" w:rsidP="00375815">
      <w:pPr>
        <w:spacing w:after="200"/>
      </w:pPr>
      <w:r w:rsidRPr="00281428">
        <w:t>Amend Handbook 130, Uniform Method of Sale of Commodities Regulation as follows:</w:t>
      </w:r>
    </w:p>
    <w:p w14:paraId="3580D371" w14:textId="77777777" w:rsidR="00FC537E" w:rsidRPr="00281428" w:rsidRDefault="00FC537E" w:rsidP="00375815">
      <w:pPr>
        <w:spacing w:before="240" w:after="60"/>
        <w:outlineLvl w:val="6"/>
        <w:rPr>
          <w:b/>
          <w:bCs/>
          <w:szCs w:val="24"/>
        </w:rPr>
      </w:pPr>
      <w:bookmarkStart w:id="103" w:name="_Toc493750235"/>
      <w:bookmarkStart w:id="104" w:name="_Hlk4416741"/>
      <w:bookmarkStart w:id="105" w:name="_Hlk4415958"/>
      <w:r w:rsidRPr="00281428">
        <w:rPr>
          <w:b/>
          <w:bCs/>
          <w:szCs w:val="24"/>
        </w:rPr>
        <w:t>2.33.  Oil.</w:t>
      </w:r>
    </w:p>
    <w:p w14:paraId="2A3C7224" w14:textId="77777777" w:rsidR="00FC537E" w:rsidRPr="00281428" w:rsidRDefault="00FC537E">
      <w:pPr>
        <w:spacing w:before="240" w:after="0"/>
        <w:ind w:left="360"/>
        <w:rPr>
          <w:szCs w:val="24"/>
        </w:rPr>
      </w:pPr>
      <w:bookmarkStart w:id="106" w:name="_Toc527640189"/>
      <w:r w:rsidRPr="00281428">
        <w:rPr>
          <w:b/>
          <w:bCs/>
          <w:szCs w:val="24"/>
        </w:rPr>
        <w:t>2.33.1.  Labeling of Vehicle Engine (Motor) Oil.</w:t>
      </w:r>
      <w:bookmarkEnd w:id="106"/>
      <w:r w:rsidRPr="00281428">
        <w:rPr>
          <w:szCs w:val="24"/>
        </w:rPr>
        <w:t xml:space="preserve"> – Vehicle engine (motor) oil shall be labeled.</w:t>
      </w:r>
    </w:p>
    <w:p w14:paraId="6BF38B9E" w14:textId="77777777" w:rsidR="00FC537E" w:rsidRPr="00281428" w:rsidRDefault="00FC537E">
      <w:pPr>
        <w:spacing w:before="240"/>
        <w:ind w:left="720"/>
      </w:pPr>
      <w:bookmarkStart w:id="107" w:name="_Toc527640190"/>
      <w:r w:rsidRPr="00281428">
        <w:rPr>
          <w:rFonts w:cs="Arial"/>
          <w:b/>
          <w:bCs/>
        </w:rPr>
        <w:t>2.33.1.1.  Viscosity.</w:t>
      </w:r>
      <w:bookmarkEnd w:id="107"/>
      <w:r w:rsidRPr="00281428">
        <w:rPr>
          <w:b/>
        </w:rPr>
        <w:t xml:space="preserve"> –</w:t>
      </w:r>
      <w:r w:rsidRPr="00281428">
        <w:t>The label on any vehicle engine (motor) oil container, receptacle, dispenser, or storage tank, and any invoice or receipt from service on an engine that includes the installation of vehicle engine (motor) oil dispensed from a receptacle, dispenser, or storage tank, shall contain the viscosity grade classification preceded by the letters “SAE” in accordance with SAE International’s latest version of SAE J300, “Engine Oil Viscosity Classification.”</w:t>
      </w:r>
    </w:p>
    <w:p w14:paraId="7940239B" w14:textId="77777777" w:rsidR="00FC537E" w:rsidRPr="00281428" w:rsidRDefault="00FC537E" w:rsidP="00FC537E">
      <w:pPr>
        <w:spacing w:before="240" w:after="0"/>
        <w:ind w:left="720"/>
        <w:rPr>
          <w:i/>
        </w:rPr>
      </w:pPr>
      <w:r w:rsidRPr="00281428">
        <w:rPr>
          <w:b/>
          <w:i/>
        </w:rPr>
        <w:t>NOTE:</w:t>
      </w:r>
      <w:r w:rsidRPr="00281428">
        <w:rPr>
          <w:i/>
        </w:rPr>
        <w:t xml:space="preserve">  If an invoice or receipt from service on an engine has limited room for identifying the viscosity, brand, and service category, then abbreviated versions of each may be used on the invoice or receipt and the letters “SAE” may be omitted from the viscosity classification.</w:t>
      </w:r>
    </w:p>
    <w:p w14:paraId="2CA2F136" w14:textId="77777777" w:rsidR="00FC537E" w:rsidRPr="00281428" w:rsidRDefault="00FC537E" w:rsidP="00FC537E">
      <w:pPr>
        <w:spacing w:before="60" w:after="60"/>
        <w:ind w:left="720"/>
      </w:pPr>
      <w:r w:rsidRPr="00281428">
        <w:t xml:space="preserve">(Note added 2014) </w:t>
      </w:r>
    </w:p>
    <w:p w14:paraId="020C80DC" w14:textId="77777777" w:rsidR="00FC537E" w:rsidRPr="00281428" w:rsidRDefault="00FC537E" w:rsidP="00FC537E">
      <w:pPr>
        <w:spacing w:before="60"/>
        <w:ind w:left="720"/>
      </w:pPr>
      <w:r w:rsidRPr="00281428">
        <w:t xml:space="preserve">(Amended 2014) </w:t>
      </w:r>
    </w:p>
    <w:p w14:paraId="34B81C0A" w14:textId="77777777" w:rsidR="00FC537E" w:rsidRPr="00281428" w:rsidRDefault="00FC537E" w:rsidP="00FC537E">
      <w:pPr>
        <w:spacing w:after="60"/>
        <w:ind w:left="720"/>
      </w:pPr>
      <w:bookmarkStart w:id="108" w:name="_Toc527640191"/>
      <w:r w:rsidRPr="00281428">
        <w:rPr>
          <w:rFonts w:cs="Arial"/>
          <w:b/>
          <w:bCs/>
        </w:rPr>
        <w:t>2.33.1.2.  Brand.</w:t>
      </w:r>
      <w:bookmarkEnd w:id="108"/>
      <w:r w:rsidRPr="00281428">
        <w:rPr>
          <w:b/>
        </w:rPr>
        <w:t xml:space="preserve"> –</w:t>
      </w:r>
      <w:r w:rsidRPr="00281428">
        <w:t>The label on any vehicle engine (motor) oil container and the invoice or receipt from service on an engine that includes the installation of bulk vehicle engine (motor) oil dispensed from a receptacle, dispenser, or storage tank shall contain the name, brand, trademark, or trade name of the vehicle engine (motor) oil.</w:t>
      </w:r>
    </w:p>
    <w:p w14:paraId="1618743E" w14:textId="77777777" w:rsidR="00FC537E" w:rsidRPr="00281428" w:rsidRDefault="00FC537E" w:rsidP="00FC537E">
      <w:pPr>
        <w:spacing w:after="0"/>
        <w:ind w:left="720"/>
        <w:rPr>
          <w:szCs w:val="24"/>
        </w:rPr>
      </w:pPr>
      <w:r w:rsidRPr="00281428">
        <w:rPr>
          <w:szCs w:val="24"/>
        </w:rPr>
        <w:lastRenderedPageBreak/>
        <w:t>(Amended 2014)</w:t>
      </w:r>
    </w:p>
    <w:p w14:paraId="43303960" w14:textId="77777777" w:rsidR="00FC537E" w:rsidRPr="00281428" w:rsidRDefault="00FC537E" w:rsidP="00FF4509">
      <w:pPr>
        <w:spacing w:before="240" w:after="60"/>
        <w:ind w:left="720"/>
        <w:rPr>
          <w:szCs w:val="24"/>
        </w:rPr>
      </w:pPr>
      <w:bookmarkStart w:id="109" w:name="_Toc527640192"/>
      <w:r w:rsidRPr="00281428">
        <w:rPr>
          <w:rFonts w:cs="Arial"/>
          <w:b/>
          <w:bCs/>
        </w:rPr>
        <w:t>2.33.1.3.  Engine Service Category.</w:t>
      </w:r>
      <w:bookmarkEnd w:id="109"/>
      <w:r w:rsidRPr="00281428">
        <w:rPr>
          <w:b/>
        </w:rPr>
        <w:t xml:space="preserve"> –</w:t>
      </w:r>
      <w:r w:rsidRPr="00281428">
        <w:t>The label on any vehicle engine (motor) oil container, receptacle, dispenser, or storage tank and the invoice or receipt from service on an engine that includes the installation of bulk vehicle engine (motor) oil dispensed from a receptacle, dispenser, or storage tank shall contain the engine service category, or categories, displayed in letters not less than 3.18 mm (</w:t>
      </w:r>
      <w:r w:rsidRPr="00281428">
        <w:rPr>
          <w:position w:val="-2"/>
          <w:szCs w:val="20"/>
          <w:vertAlign w:val="superscript"/>
        </w:rPr>
        <w:t>1</w:t>
      </w:r>
      <w:r w:rsidRPr="00281428">
        <w:rPr>
          <w:szCs w:val="20"/>
        </w:rPr>
        <w:t>/</w:t>
      </w:r>
      <w:r w:rsidRPr="00281428">
        <w:rPr>
          <w:position w:val="2"/>
          <w:szCs w:val="20"/>
          <w:vertAlign w:val="subscript"/>
        </w:rPr>
        <w:t>8</w:t>
      </w:r>
      <w:r w:rsidRPr="00281428">
        <w:t xml:space="preserve"> in) in height, as defined by the latest version of SAE J183,  “Engine Oil Performance and Engine Service Classification (Other than “Energy Conserving”),” API Publication 1509, “Engine Oil Licensing and Certification System,” European Automobile Manufacturers Association (ACEA), “European Oil Sequences,” or other Vehicle or Engine Manufacturer standards as approved in </w:t>
      </w:r>
      <w:r w:rsidRPr="00281428">
        <w:rPr>
          <w:szCs w:val="24"/>
        </w:rPr>
        <w:t>Section 2.33.1.3.1. Vehicle or Engine Manufacturer Standard.</w:t>
      </w:r>
    </w:p>
    <w:p w14:paraId="2C160353" w14:textId="77777777" w:rsidR="00FC537E" w:rsidRPr="00281428" w:rsidRDefault="00FC537E" w:rsidP="00FF4509">
      <w:pPr>
        <w:ind w:left="720"/>
        <w:rPr>
          <w:szCs w:val="24"/>
        </w:rPr>
      </w:pPr>
      <w:r w:rsidRPr="00281428">
        <w:rPr>
          <w:szCs w:val="24"/>
        </w:rPr>
        <w:t xml:space="preserve">(Amended 2014) </w:t>
      </w:r>
    </w:p>
    <w:p w14:paraId="638A4CC2" w14:textId="77777777" w:rsidR="00FC537E" w:rsidRPr="00281428" w:rsidRDefault="00FC537E" w:rsidP="00FF4509">
      <w:pPr>
        <w:spacing w:after="60"/>
        <w:ind w:left="1166"/>
        <w:rPr>
          <w:szCs w:val="24"/>
        </w:rPr>
      </w:pPr>
      <w:r w:rsidRPr="00281428">
        <w:rPr>
          <w:b/>
        </w:rPr>
        <w:t>2.33.1.3.1.  Vehicle or Engine Manufacturer Standard. –</w:t>
      </w:r>
      <w:r w:rsidRPr="00281428">
        <w:rPr>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identify the specific vehicle or engine manufacturer standard, or standards, met in letters not less than 3.18 mm (</w:t>
      </w:r>
      <w:r w:rsidRPr="00281428">
        <w:rPr>
          <w:position w:val="-2"/>
          <w:szCs w:val="20"/>
          <w:vertAlign w:val="superscript"/>
        </w:rPr>
        <w:t>1</w:t>
      </w:r>
      <w:r w:rsidRPr="00281428">
        <w:rPr>
          <w:szCs w:val="20"/>
        </w:rPr>
        <w:t>/</w:t>
      </w:r>
      <w:r w:rsidRPr="00281428">
        <w:rPr>
          <w:position w:val="2"/>
          <w:szCs w:val="20"/>
          <w:vertAlign w:val="subscript"/>
        </w:rPr>
        <w:t>8</w:t>
      </w:r>
      <w:r w:rsidRPr="00281428">
        <w:rPr>
          <w:szCs w:val="24"/>
        </w:rPr>
        <w:t xml:space="preserve"> in) in height.  If the vehicle (motor) oil only meets a vehicle or engine manufacturer standard, the label must clearly identify that the oil is only intended for use where specifically recommended by the vehicle or engine manufacturer.</w:t>
      </w:r>
    </w:p>
    <w:p w14:paraId="4BAFA4DD" w14:textId="77777777" w:rsidR="00FC537E" w:rsidRPr="00281428" w:rsidRDefault="00FC537E" w:rsidP="00FF4509">
      <w:pPr>
        <w:ind w:left="1166"/>
        <w:rPr>
          <w:szCs w:val="24"/>
        </w:rPr>
      </w:pPr>
      <w:r w:rsidRPr="00281428">
        <w:rPr>
          <w:szCs w:val="24"/>
        </w:rPr>
        <w:t>(Added 2014)</w:t>
      </w:r>
    </w:p>
    <w:p w14:paraId="2C548BD3" w14:textId="57A0ABF2" w:rsidR="00FC537E" w:rsidRPr="00281428" w:rsidRDefault="00FC537E" w:rsidP="00FF4509">
      <w:pPr>
        <w:spacing w:after="60"/>
        <w:ind w:left="1166"/>
        <w:rPr>
          <w:b/>
          <w:u w:val="single"/>
        </w:rPr>
      </w:pPr>
      <w:bookmarkStart w:id="110" w:name="_Hlk63079511"/>
      <w:r w:rsidRPr="00281428">
        <w:rPr>
          <w:b/>
        </w:rPr>
        <w:t>2.33.1.3.2.  Inactive or Obsolete Service Categories. –</w:t>
      </w:r>
      <w:r w:rsidRPr="00281428">
        <w:rPr>
          <w:b/>
          <w:strike/>
        </w:rPr>
        <w:t>The label on any vehicle engine (motor) oil container, receptacle, dispenser, or storage tank and the invoice or receipt from service on an engine that includes the installation of bulk vehicle engine (motor) oil dispensed from a receptacle, dispenser, or storage tank shall bear a plainly visible cautionary statement in compliance with the latest version of SAE J183, Appendix A,</w:t>
      </w:r>
      <w:r w:rsidRPr="00281428">
        <w:t xml:space="preserve"> </w:t>
      </w:r>
      <w:r w:rsidRPr="00281428">
        <w:rPr>
          <w:b/>
          <w:u w:val="single"/>
        </w:rPr>
        <w:t>W</w:t>
      </w:r>
      <w:r w:rsidRPr="00281428">
        <w:t xml:space="preserve">henever </w:t>
      </w:r>
      <w:r w:rsidRPr="00281428">
        <w:rPr>
          <w:b/>
          <w:strike/>
        </w:rPr>
        <w:t>the</w:t>
      </w:r>
      <w:r w:rsidRPr="00281428">
        <w:t xml:space="preserve"> </w:t>
      </w:r>
      <w:r w:rsidRPr="00281428">
        <w:rPr>
          <w:b/>
          <w:u w:val="single"/>
        </w:rPr>
        <w:t>any</w:t>
      </w:r>
      <w:r w:rsidRPr="00281428">
        <w:t xml:space="preserve"> vehicle engine (motor) oil in </w:t>
      </w:r>
      <w:r w:rsidRPr="00281428">
        <w:rPr>
          <w:b/>
          <w:strike/>
        </w:rPr>
        <w:t>the</w:t>
      </w:r>
      <w:r w:rsidRPr="00281428">
        <w:t xml:space="preserve"> </w:t>
      </w:r>
      <w:r w:rsidRPr="00281428">
        <w:rPr>
          <w:b/>
          <w:u w:val="single"/>
        </w:rPr>
        <w:t>a</w:t>
      </w:r>
      <w:r w:rsidRPr="00281428">
        <w:t xml:space="preserve"> container</w:t>
      </w:r>
      <w:r w:rsidRPr="00281428">
        <w:rPr>
          <w:b/>
          <w:u w:val="single"/>
        </w:rPr>
        <w:t xml:space="preserve">, receptacle, dispenser, storage tank, </w:t>
      </w:r>
      <w:r w:rsidRPr="00281428">
        <w:t>or in bulk does not meet an active API service category as defined by the latest version of SAE J183, “Engine Oil Performance and Engine Service Classification (Other than “Energy Conserving</w:t>
      </w:r>
      <w:r w:rsidR="00A329AF" w:rsidRPr="00281428">
        <w:t>”)</w:t>
      </w:r>
      <w:r w:rsidR="00A329AF" w:rsidRPr="00281428">
        <w:rPr>
          <w:b/>
          <w:strike/>
        </w:rPr>
        <w:t>.</w:t>
      </w:r>
      <w:r w:rsidR="00A329AF" w:rsidRPr="00281428">
        <w:rPr>
          <w:b/>
          <w:u w:val="single"/>
        </w:rPr>
        <w:t>,</w:t>
      </w:r>
      <w:r w:rsidR="00A329AF" w:rsidRPr="00281428">
        <w:t xml:space="preserve">” </w:t>
      </w:r>
      <w:bookmarkStart w:id="111" w:name="_Hlk63082867"/>
      <w:r w:rsidR="00A329AF" w:rsidRPr="00281428">
        <w:rPr>
          <w:b/>
          <w:bCs/>
          <w:u w:val="single"/>
        </w:rPr>
        <w:t>API Publication 1509, “Engine Oil Licensing and Certification System,</w:t>
      </w:r>
      <w:r w:rsidR="00825227" w:rsidRPr="00281428">
        <w:rPr>
          <w:b/>
          <w:bCs/>
          <w:u w:val="single"/>
        </w:rPr>
        <w:t>”</w:t>
      </w:r>
      <w:r w:rsidR="00A329AF" w:rsidRPr="00281428">
        <w:t xml:space="preserve"> </w:t>
      </w:r>
      <w:r w:rsidR="00A329AF" w:rsidRPr="00281428">
        <w:rPr>
          <w:b/>
          <w:bCs/>
          <w:u w:val="single"/>
        </w:rPr>
        <w:t>European Automobile Manufacturers Association (ACEA), “European Oil Sequences,” or other Vehicle or Engine Manufacturer Standard</w:t>
      </w:r>
      <w:r w:rsidR="00825227" w:rsidRPr="00281428">
        <w:rPr>
          <w:b/>
          <w:bCs/>
          <w:u w:val="single"/>
        </w:rPr>
        <w:t>s</w:t>
      </w:r>
      <w:r w:rsidR="00A329AF" w:rsidRPr="00281428">
        <w:rPr>
          <w:b/>
          <w:bCs/>
          <w:u w:val="single"/>
        </w:rPr>
        <w:t xml:space="preserve"> as approved in Section 2.33.1.3.1., Vehicle Or Engine Manufacturer Standard </w:t>
      </w:r>
      <w:bookmarkEnd w:id="111"/>
      <w:r w:rsidR="00A329AF" w:rsidRPr="00281428">
        <w:rPr>
          <w:b/>
          <w:bCs/>
          <w:u w:val="single"/>
        </w:rPr>
        <w:t>t</w:t>
      </w:r>
      <w:r w:rsidRPr="00281428">
        <w:rPr>
          <w:b/>
          <w:u w:val="single"/>
        </w:rPr>
        <w:t>he front or forward facing-label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b/>
          <w:u w:val="single"/>
        </w:rPr>
        <w:t xml:space="preserve"> </w:t>
      </w:r>
      <w:r w:rsidRPr="00281428">
        <w:rPr>
          <w:b/>
          <w:u w:val="single"/>
        </w:rPr>
        <w:t xml:space="preserve">visible, cautionary statement set forth in the latest version of SAE J183, Appendix A.  </w:t>
      </w:r>
      <w:r w:rsidRPr="00281428">
        <w:rPr>
          <w:rFonts w:eastAsiaTheme="minorHAnsi"/>
          <w:b/>
          <w:color w:val="000000" w:themeColor="text1"/>
          <w:szCs w:val="20"/>
          <w:u w:val="single"/>
          <w:lang w:val="en-CA"/>
        </w:rPr>
        <w:t>Whenever any vehicle engine (motor) oil is declared obsolete by a vehicle or engine manufacturer, the front or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heme="minorHAnsi"/>
          <w:b/>
          <w:color w:val="000000" w:themeColor="text1"/>
          <w:szCs w:val="20"/>
          <w:u w:val="single"/>
          <w:lang w:val="en-CA"/>
        </w:rPr>
        <w:t xml:space="preserve"> </w:t>
      </w:r>
      <w:r w:rsidRPr="00281428">
        <w:rPr>
          <w:rFonts w:eastAsiaTheme="minorHAnsi"/>
          <w:b/>
          <w:color w:val="000000" w:themeColor="text1"/>
          <w:szCs w:val="20"/>
          <w:u w:val="single"/>
          <w:lang w:val="en-CA"/>
        </w:rPr>
        <w:t>visible, cautionary statement required by the vehicle or engine manufacturer.</w:t>
      </w:r>
      <w:r w:rsidRPr="00281428">
        <w:t xml:space="preserve"> </w:t>
      </w:r>
      <w:r w:rsidRPr="00281428">
        <w:rPr>
          <w:b/>
          <w:strike/>
        </w:rPr>
        <w:t>If a vehicle engine (motor) oil is identified as only meeting a vehicle or engine manufacturer standard, the labeling requirements in Section 2.33.1.3.1. Vehicle or Engine Manufacturer Standard applies.</w:t>
      </w:r>
    </w:p>
    <w:p w14:paraId="4284F9D0" w14:textId="77777777" w:rsidR="00FC537E" w:rsidRPr="00281428" w:rsidRDefault="00FC537E" w:rsidP="00FF4509">
      <w:pPr>
        <w:ind w:left="1170"/>
      </w:pPr>
      <w:r w:rsidRPr="00281428">
        <w:t xml:space="preserve">(Amended 2014 </w:t>
      </w:r>
      <w:r w:rsidRPr="00281428">
        <w:rPr>
          <w:b/>
          <w:u w:val="single"/>
        </w:rPr>
        <w:t>and 20XX</w:t>
      </w:r>
      <w:r w:rsidRPr="00281428">
        <w:t>)</w:t>
      </w:r>
    </w:p>
    <w:p w14:paraId="02708A71" w14:textId="77777777" w:rsidR="00FC537E" w:rsidRPr="00281428" w:rsidRDefault="00FC537E" w:rsidP="00FF4509">
      <w:pPr>
        <w:spacing w:after="60"/>
        <w:ind w:left="720"/>
      </w:pPr>
      <w:bookmarkStart w:id="112" w:name="_Toc527640193"/>
      <w:bookmarkEnd w:id="110"/>
      <w:r w:rsidRPr="00281428">
        <w:rPr>
          <w:rFonts w:cs="Arial"/>
          <w:b/>
          <w:bCs/>
        </w:rPr>
        <w:t>2.33.1.4.  Tank Trucks or Rail Cars.</w:t>
      </w:r>
      <w:bookmarkEnd w:id="112"/>
      <w:r w:rsidRPr="00281428">
        <w:rPr>
          <w:b/>
        </w:rPr>
        <w:t xml:space="preserve"> –</w:t>
      </w:r>
      <w:r w:rsidRPr="00281428">
        <w:t>Tank trucks, rail cars, and other types of delivery trucks that are used to deliver bulk vehicle engine (motor) oil are not required to display the SAE viscosity grade and service category or categories on such tank trucks, rail cars, and other types of delivery trucks.</w:t>
      </w:r>
      <w:r w:rsidRPr="00281428">
        <w:rPr>
          <w:b/>
          <w:u w:val="single"/>
        </w:rPr>
        <w:t xml:space="preserve">  </w:t>
      </w:r>
      <w:r w:rsidRPr="00281428">
        <w:rPr>
          <w:rFonts w:eastAsia="Times New Roman"/>
          <w:b/>
          <w:szCs w:val="20"/>
          <w:u w:val="single"/>
        </w:rPr>
        <w:t>In lieu of such display requirements, the documentation defined in Section 2.33.1.5. Documentation shall be readily available for inspection.</w:t>
      </w:r>
    </w:p>
    <w:p w14:paraId="327BB76A" w14:textId="77777777" w:rsidR="00FC537E" w:rsidRPr="00281428" w:rsidRDefault="00FC537E" w:rsidP="00FF4509">
      <w:pPr>
        <w:spacing w:before="60"/>
        <w:ind w:left="720"/>
      </w:pPr>
      <w:r w:rsidRPr="00281428">
        <w:t>(Amended 2013</w:t>
      </w:r>
      <w:r w:rsidRPr="00281428">
        <w:rPr>
          <w:b/>
          <w:u w:val="single"/>
        </w:rPr>
        <w:t>,</w:t>
      </w:r>
      <w:r w:rsidRPr="00281428">
        <w:t xml:space="preserve"> </w:t>
      </w:r>
      <w:r w:rsidRPr="00281428">
        <w:rPr>
          <w:b/>
          <w:strike/>
        </w:rPr>
        <w:t>and</w:t>
      </w:r>
      <w:r w:rsidRPr="00281428">
        <w:t xml:space="preserve"> 2014</w:t>
      </w:r>
      <w:r w:rsidRPr="00281428">
        <w:rPr>
          <w:b/>
          <w:u w:val="single"/>
        </w:rPr>
        <w:t xml:space="preserve"> and 20XX</w:t>
      </w:r>
      <w:r w:rsidRPr="00281428">
        <w:t>)</w:t>
      </w:r>
    </w:p>
    <w:p w14:paraId="4F383759" w14:textId="77777777" w:rsidR="00FC537E" w:rsidRPr="00281428" w:rsidRDefault="00FC537E" w:rsidP="00FF4509">
      <w:pPr>
        <w:spacing w:after="0"/>
        <w:ind w:left="720"/>
        <w:rPr>
          <w:b/>
        </w:rPr>
      </w:pPr>
      <w:bookmarkStart w:id="113" w:name="_Toc527640194"/>
      <w:r w:rsidRPr="00281428">
        <w:rPr>
          <w:rFonts w:cs="Arial"/>
          <w:b/>
        </w:rPr>
        <w:t>2.33.1.5.  Documentation</w:t>
      </w:r>
      <w:bookmarkEnd w:id="113"/>
      <w:r w:rsidRPr="00281428">
        <w:rPr>
          <w:b/>
          <w:bCs/>
        </w:rPr>
        <w:t>. –</w:t>
      </w:r>
      <w:r w:rsidRPr="00281428">
        <w:t xml:space="preserve">When the engine (motor) oil is sold in bulk, an invoice, bill of lading, shipping paper, or other documentation must accompany each delivery.  This document must identify the quantity of </w:t>
      </w:r>
      <w:r w:rsidRPr="00281428">
        <w:lastRenderedPageBreak/>
        <w:t xml:space="preserve">bulk engine (motor) oil delivered as defined in Sections 2.33.1.1. Viscosity, </w:t>
      </w:r>
      <w:r w:rsidRPr="00281428">
        <w:rPr>
          <w:b/>
          <w:u w:val="single"/>
        </w:rPr>
        <w:t>grade as defined by SAE J300 “Engine Oil Viscosity Classification,”</w:t>
      </w:r>
      <w:r w:rsidRPr="00281428">
        <w:t xml:space="preserve"> 2.33.1.2. Brand; 2.33.1.3. Engine Service Category; the name and address of the seller and buyer; and the date and time of the sale.  For inactive or obsolete service categories, the documentation shall also bear </w:t>
      </w:r>
      <w:r w:rsidRPr="00281428">
        <w:rPr>
          <w:b/>
          <w:strike/>
        </w:rPr>
        <w:t>a</w:t>
      </w:r>
      <w:r w:rsidRPr="00281428">
        <w:t xml:space="preserve"> </w:t>
      </w:r>
      <w:r w:rsidRPr="00281428">
        <w:rPr>
          <w:b/>
          <w:u w:val="single"/>
        </w:rPr>
        <w:t>the</w:t>
      </w:r>
      <w:r w:rsidRPr="00281428">
        <w:rPr>
          <w:bCs/>
        </w:rPr>
        <w:t xml:space="preserve"> </w:t>
      </w:r>
      <w:r w:rsidRPr="00281428">
        <w:t>plainly visible cautionary statement</w:t>
      </w:r>
      <w:r w:rsidRPr="00281428">
        <w:rPr>
          <w:b/>
          <w:u w:val="single"/>
        </w:rPr>
        <w:t>s</w:t>
      </w:r>
      <w:r w:rsidRPr="00281428">
        <w:t xml:space="preserve"> as required in Section 2.33.1.3.2. Inactive or Obsolete Service Categories.  Documentation must be retained at the retail establishment for a period of not less than one year.</w:t>
      </w:r>
    </w:p>
    <w:p w14:paraId="3AB03A02" w14:textId="77777777" w:rsidR="00FC537E" w:rsidRPr="00281428" w:rsidRDefault="00FC537E" w:rsidP="00FF4509">
      <w:pPr>
        <w:spacing w:before="60" w:after="0"/>
        <w:ind w:left="720"/>
        <w:rPr>
          <w:szCs w:val="24"/>
        </w:rPr>
      </w:pPr>
      <w:r w:rsidRPr="00281428">
        <w:rPr>
          <w:szCs w:val="24"/>
        </w:rPr>
        <w:t xml:space="preserve">(Added 2013) (Amended 2014 </w:t>
      </w:r>
      <w:r w:rsidRPr="00281428">
        <w:rPr>
          <w:b/>
          <w:szCs w:val="24"/>
          <w:u w:val="single"/>
        </w:rPr>
        <w:t>and 20XX</w:t>
      </w:r>
      <w:r w:rsidRPr="00281428">
        <w:rPr>
          <w:szCs w:val="24"/>
        </w:rPr>
        <w:t>)</w:t>
      </w:r>
    </w:p>
    <w:p w14:paraId="15AE2F0D" w14:textId="77777777" w:rsidR="00FC537E" w:rsidRPr="00281428" w:rsidRDefault="00FC537E" w:rsidP="00FF4509">
      <w:pPr>
        <w:spacing w:before="60"/>
      </w:pPr>
      <w:r w:rsidRPr="00281428">
        <w:t>(Added 2012) (Amended 2013</w:t>
      </w:r>
      <w:r w:rsidRPr="00281428">
        <w:rPr>
          <w:b/>
          <w:u w:val="single"/>
        </w:rPr>
        <w:t>,</w:t>
      </w:r>
      <w:r w:rsidRPr="00281428">
        <w:t xml:space="preserve"> </w:t>
      </w:r>
      <w:r w:rsidRPr="00281428">
        <w:rPr>
          <w:b/>
          <w:strike/>
        </w:rPr>
        <w:t>and</w:t>
      </w:r>
      <w:r w:rsidRPr="00281428">
        <w:t xml:space="preserve"> 2014</w:t>
      </w:r>
      <w:r w:rsidRPr="00281428">
        <w:rPr>
          <w:b/>
          <w:u w:val="single"/>
        </w:rPr>
        <w:t xml:space="preserve"> and 20XX</w:t>
      </w:r>
      <w:r w:rsidRPr="00281428">
        <w:t>)</w:t>
      </w:r>
      <w:bookmarkEnd w:id="103"/>
      <w:bookmarkEnd w:id="104"/>
      <w:bookmarkEnd w:id="105"/>
    </w:p>
    <w:p w14:paraId="564FD4C5" w14:textId="7D10C146" w:rsidR="00FC537E" w:rsidRPr="00281428" w:rsidRDefault="00FC537E" w:rsidP="00375815">
      <w:pPr>
        <w:pStyle w:val="ItemHeading"/>
        <w:keepNext w:val="0"/>
        <w:keepLines w:val="0"/>
        <w:tabs>
          <w:tab w:val="clear" w:pos="900"/>
          <w:tab w:val="left" w:pos="2160"/>
        </w:tabs>
        <w:ind w:left="1800" w:hanging="1800"/>
      </w:pPr>
      <w:bookmarkStart w:id="114" w:name="_Toc61611603"/>
      <w:bookmarkStart w:id="115" w:name="_Toc65741445"/>
      <w:bookmarkStart w:id="116" w:name="_Hlk61599920"/>
      <w:r w:rsidRPr="00281428">
        <w:t>B3: FLR-18.1</w:t>
      </w:r>
      <w:r w:rsidRPr="00281428">
        <w:tab/>
      </w:r>
      <w:r w:rsidR="00FD3E8C" w:rsidRPr="00281428">
        <w:rPr>
          <w:color w:val="000000" w:themeColor="text1"/>
        </w:rPr>
        <w:t>V</w:t>
      </w:r>
      <w:r w:rsidRPr="00281428">
        <w:tab/>
        <w:t xml:space="preserve">Sections 2.14.  Engine (Motor) Oil, 3.13.  Oil and 7.2.  Reproducibility </w:t>
      </w:r>
      <w:r w:rsidR="00FF4509" w:rsidRPr="00281428">
        <w:tab/>
      </w:r>
      <w:r w:rsidRPr="00281428">
        <w:t>Limits.</w:t>
      </w:r>
      <w:bookmarkEnd w:id="114"/>
      <w:bookmarkEnd w:id="115"/>
    </w:p>
    <w:p w14:paraId="4FA27B9B" w14:textId="77777777" w:rsidR="00FC537E" w:rsidRPr="00281428" w:rsidRDefault="00FC537E" w:rsidP="00FF4509">
      <w:pPr>
        <w:spacing w:after="0"/>
        <w:rPr>
          <w:szCs w:val="20"/>
        </w:rPr>
      </w:pPr>
      <w:r w:rsidRPr="00281428">
        <w:rPr>
          <w:b/>
          <w:szCs w:val="20"/>
        </w:rPr>
        <w:t>Item Under Consideration:</w:t>
      </w:r>
    </w:p>
    <w:p w14:paraId="276CD4AF" w14:textId="7B88EA73" w:rsidR="00FC537E" w:rsidRPr="00281428" w:rsidRDefault="00FC537E" w:rsidP="00FF4509">
      <w:pPr>
        <w:spacing w:after="200"/>
      </w:pPr>
      <w:r w:rsidRPr="00281428">
        <w:t>Amend Handbook 130, Uniform Fuels and Automotive Lubricants Regulation as follows:</w:t>
      </w:r>
    </w:p>
    <w:p w14:paraId="1527FC38" w14:textId="77777777" w:rsidR="00FC537E" w:rsidRPr="00281428" w:rsidRDefault="00FC537E" w:rsidP="00FF4509">
      <w:pPr>
        <w:tabs>
          <w:tab w:val="left" w:pos="540"/>
        </w:tabs>
        <w:rPr>
          <w:rFonts w:eastAsia="Times New Roman"/>
          <w:b/>
          <w:bCs/>
          <w:sz w:val="22"/>
        </w:rPr>
      </w:pPr>
      <w:bookmarkStart w:id="117" w:name="_Toc529205453"/>
      <w:bookmarkStart w:id="118" w:name="_Toc493750444"/>
      <w:r w:rsidRPr="00281428">
        <w:rPr>
          <w:rFonts w:eastAsia="Times New Roman"/>
          <w:b/>
          <w:bCs/>
          <w:sz w:val="22"/>
        </w:rPr>
        <w:t>Section 2.  Standard Specification</w:t>
      </w:r>
    </w:p>
    <w:p w14:paraId="3A039E20" w14:textId="77777777" w:rsidR="00FC537E" w:rsidRPr="00281428" w:rsidRDefault="00FC537E" w:rsidP="00FF4509">
      <w:pPr>
        <w:tabs>
          <w:tab w:val="left" w:pos="540"/>
        </w:tabs>
        <w:rPr>
          <w:rFonts w:eastAsia="Times New Roman"/>
          <w:szCs w:val="24"/>
        </w:rPr>
      </w:pPr>
      <w:r w:rsidRPr="00281428">
        <w:rPr>
          <w:rFonts w:eastAsia="Times New Roman"/>
          <w:b/>
          <w:bCs/>
          <w:szCs w:val="24"/>
        </w:rPr>
        <w:t>2.14.</w:t>
      </w:r>
      <w:r w:rsidRPr="00281428">
        <w:rPr>
          <w:rFonts w:eastAsia="Times New Roman"/>
          <w:b/>
          <w:bCs/>
          <w:szCs w:val="24"/>
        </w:rPr>
        <w:tab/>
        <w:t>Engine (Motor) Oil.</w:t>
      </w:r>
      <w:r w:rsidRPr="00281428">
        <w:rPr>
          <w:rFonts w:eastAsia="Times New Roman"/>
          <w:szCs w:val="24"/>
        </w:rPr>
        <w:t xml:space="preserve"> – Shall not be sold or distributed for use unless the product conforms to the following specifications:</w:t>
      </w:r>
    </w:p>
    <w:p w14:paraId="37D60ACA" w14:textId="77777777" w:rsidR="00FC537E" w:rsidRPr="00281428" w:rsidRDefault="00FC537E" w:rsidP="00FF4509">
      <w:pPr>
        <w:spacing w:after="200"/>
        <w:ind w:left="900" w:hanging="540"/>
        <w:rPr>
          <w:rFonts w:eastAsia="Times New Roman"/>
          <w:szCs w:val="24"/>
        </w:rPr>
      </w:pPr>
      <w:r w:rsidRPr="00281428">
        <w:rPr>
          <w:rFonts w:eastAsia="Times New Roman"/>
          <w:szCs w:val="24"/>
        </w:rPr>
        <w:t>(a)</w:t>
      </w:r>
      <w:r w:rsidRPr="00281428">
        <w:rPr>
          <w:rFonts w:eastAsia="Times New Roman"/>
          <w:szCs w:val="24"/>
        </w:rPr>
        <w:tab/>
        <w:t xml:space="preserve">performance claims </w:t>
      </w:r>
      <w:r w:rsidRPr="00281428">
        <w:rPr>
          <w:rFonts w:ascii="TimesNewRomanPSMT" w:eastAsia="Times New Roman" w:hAnsi="TimesNewRomanPSMT" w:cs="TimesNewRomanPSMT"/>
          <w:b/>
          <w:szCs w:val="20"/>
          <w:u w:val="single"/>
        </w:rPr>
        <w:t>made regarding active performance categories, as</w:t>
      </w:r>
      <w:r w:rsidRPr="00281428">
        <w:rPr>
          <w:rFonts w:ascii="TimesNewRomanPSMT" w:eastAsia="Times New Roman" w:hAnsi="TimesNewRomanPSMT" w:cs="TimesNewRomanPSMT"/>
          <w:szCs w:val="20"/>
        </w:rPr>
        <w:t xml:space="preserve"> </w:t>
      </w:r>
      <w:r w:rsidRPr="00281428">
        <w:rPr>
          <w:rFonts w:eastAsia="Times New Roman"/>
          <w:szCs w:val="24"/>
        </w:rPr>
        <w:t xml:space="preserve">listed on the label shall be evaluated against the latest version of SAE J183, “Engine Oil Performance and Engine Service Classification,” API 1509 “Engine Oil Licensing and Certification System,” European Automobile Manufacturers’ Association (ACEA), “European Oil Sequences,” or other “Vehicle or Engine Manufacturer Standards” as applicable; </w:t>
      </w:r>
      <w:r w:rsidRPr="00281428">
        <w:rPr>
          <w:rFonts w:eastAsia="Times New Roman"/>
          <w:b/>
          <w:strike/>
          <w:szCs w:val="24"/>
        </w:rPr>
        <w:t>and</w:t>
      </w:r>
    </w:p>
    <w:p w14:paraId="2968C711" w14:textId="77777777" w:rsidR="00FC537E" w:rsidRPr="00281428" w:rsidRDefault="00FC537E" w:rsidP="00FC537E">
      <w:pPr>
        <w:autoSpaceDE w:val="0"/>
        <w:autoSpaceDN w:val="0"/>
        <w:adjustRightInd w:val="0"/>
        <w:ind w:left="900" w:hanging="540"/>
        <w:rPr>
          <w:rFonts w:eastAsia="Times New Roman"/>
          <w:b/>
          <w:szCs w:val="24"/>
          <w:u w:val="single"/>
        </w:rPr>
      </w:pPr>
      <w:r w:rsidRPr="00281428">
        <w:rPr>
          <w:rFonts w:ascii="TimesNewRomanPSMT" w:eastAsia="Times New Roman" w:hAnsi="TimesNewRomanPSMT" w:cs="TimesNewRomanPSMT"/>
          <w:b/>
          <w:szCs w:val="20"/>
          <w:u w:val="single"/>
        </w:rPr>
        <w:t>(b)</w:t>
      </w:r>
      <w:r w:rsidRPr="00281428">
        <w:rPr>
          <w:rFonts w:ascii="TimesNewRomanPSMT" w:eastAsia="Times New Roman" w:hAnsi="TimesNewRomanPSMT" w:cs="TimesNewRomanPSMT"/>
          <w:szCs w:val="20"/>
        </w:rPr>
        <w:tab/>
      </w:r>
      <w:r w:rsidRPr="00281428">
        <w:rPr>
          <w:rFonts w:ascii="TimesNewRomanPSMT" w:eastAsia="Times New Roman" w:hAnsi="TimesNewRomanPSMT" w:cs="TimesNewRomanPSMT"/>
          <w:b/>
          <w:szCs w:val="20"/>
          <w:u w:val="single"/>
        </w:rPr>
        <w:t xml:space="preserve">performance claims made regarding any obsolete performance categories, as listed on the label, shall be determined to meet the requirements of Section 3.13.1.3.2. “Inactive or Obsolete Service Categories” by displaying the appropriate cautionary labeling </w:t>
      </w:r>
      <w:r w:rsidRPr="00281428">
        <w:rPr>
          <w:rFonts w:eastAsia="Times New Roman"/>
          <w:b/>
          <w:szCs w:val="24"/>
          <w:u w:val="single"/>
        </w:rPr>
        <w:t>and</w:t>
      </w:r>
    </w:p>
    <w:p w14:paraId="33A9AF4B" w14:textId="77777777" w:rsidR="00FC537E" w:rsidRPr="00281428" w:rsidRDefault="00FC537E" w:rsidP="00FC537E">
      <w:pPr>
        <w:spacing w:after="60"/>
        <w:ind w:left="900" w:hanging="540"/>
        <w:rPr>
          <w:rFonts w:eastAsia="Times New Roman"/>
          <w:szCs w:val="24"/>
        </w:rPr>
      </w:pPr>
      <w:r w:rsidRPr="00281428">
        <w:rPr>
          <w:rFonts w:eastAsia="Times New Roman"/>
          <w:szCs w:val="24"/>
          <w:u w:color="FFFFFF" w:themeColor="background1"/>
        </w:rPr>
        <w:t>(</w:t>
      </w:r>
      <w:r w:rsidRPr="00281428">
        <w:rPr>
          <w:rFonts w:eastAsia="Times New Roman"/>
          <w:szCs w:val="24"/>
          <w:u w:val="single" w:color="FFFFFF" w:themeColor="background1"/>
        </w:rPr>
        <w:t>c</w:t>
      </w:r>
      <w:r w:rsidRPr="00281428">
        <w:rPr>
          <w:rFonts w:eastAsia="Times New Roman"/>
          <w:szCs w:val="24"/>
          <w:u w:color="FFFFFF" w:themeColor="background1"/>
        </w:rPr>
        <w:t>)</w:t>
      </w:r>
      <w:r w:rsidRPr="00281428">
        <w:rPr>
          <w:rFonts w:eastAsia="Times New Roman"/>
          <w:szCs w:val="24"/>
        </w:rPr>
        <w:tab/>
        <w:t>the product shall meet its labeled viscosity grade specification as specified in the latest version of SAE J300, “Engine Oil Viscosity Classification.”</w:t>
      </w:r>
    </w:p>
    <w:p w14:paraId="0FB69B1A" w14:textId="77777777" w:rsidR="00FC537E" w:rsidRPr="00281428" w:rsidRDefault="00FC537E" w:rsidP="00FC537E">
      <w:pPr>
        <w:spacing w:before="60" w:after="200"/>
        <w:rPr>
          <w:rFonts w:eastAsia="Times New Roman"/>
          <w:szCs w:val="24"/>
        </w:rPr>
      </w:pPr>
      <w:r w:rsidRPr="00281428">
        <w:rPr>
          <w:rFonts w:eastAsia="Times New Roman"/>
          <w:szCs w:val="24"/>
        </w:rPr>
        <w:t xml:space="preserve">(Added 2004) (Amended 2014 </w:t>
      </w:r>
      <w:r w:rsidRPr="00281428">
        <w:rPr>
          <w:rFonts w:eastAsia="Times New Roman"/>
          <w:b/>
          <w:szCs w:val="24"/>
          <w:u w:val="single"/>
        </w:rPr>
        <w:t>and 20XX</w:t>
      </w:r>
      <w:r w:rsidRPr="00281428">
        <w:rPr>
          <w:rFonts w:eastAsia="Times New Roman"/>
          <w:szCs w:val="24"/>
        </w:rPr>
        <w:t>)</w:t>
      </w:r>
    </w:p>
    <w:p w14:paraId="6B68F987" w14:textId="77777777" w:rsidR="00FC537E" w:rsidRPr="00281428" w:rsidRDefault="00FC537E" w:rsidP="00FC537E">
      <w:pPr>
        <w:keepNext/>
        <w:tabs>
          <w:tab w:val="left" w:pos="360"/>
        </w:tabs>
        <w:spacing w:before="360" w:after="360"/>
        <w:outlineLvl w:val="5"/>
        <w:rPr>
          <w:rFonts w:eastAsia="Times New Roman"/>
          <w:b/>
          <w:bCs/>
          <w:sz w:val="22"/>
        </w:rPr>
      </w:pPr>
      <w:r w:rsidRPr="00281428">
        <w:rPr>
          <w:rFonts w:eastAsia="Times New Roman"/>
          <w:b/>
          <w:bCs/>
          <w:sz w:val="22"/>
        </w:rPr>
        <w:t>Section 3.  Classification, Identification, and Labeling for Sale</w:t>
      </w:r>
      <w:bookmarkEnd w:id="117"/>
      <w:r w:rsidRPr="00281428">
        <w:rPr>
          <w:rFonts w:eastAsia="Times New Roman"/>
          <w:b/>
          <w:bCs/>
          <w:sz w:val="22"/>
        </w:rPr>
        <w:t xml:space="preserve"> </w:t>
      </w:r>
    </w:p>
    <w:p w14:paraId="35399C04" w14:textId="77777777" w:rsidR="00FC537E" w:rsidRPr="00281428" w:rsidRDefault="00FC537E" w:rsidP="00FC537E">
      <w:pPr>
        <w:tabs>
          <w:tab w:val="left" w:pos="540"/>
        </w:tabs>
        <w:rPr>
          <w:rFonts w:eastAsia="Times New Roman"/>
          <w:b/>
          <w:bCs/>
          <w:szCs w:val="24"/>
        </w:rPr>
      </w:pPr>
      <w:r w:rsidRPr="00281428">
        <w:rPr>
          <w:rFonts w:eastAsia="Times New Roman"/>
          <w:b/>
          <w:bCs/>
          <w:szCs w:val="24"/>
        </w:rPr>
        <w:t>3.13.</w:t>
      </w:r>
      <w:r w:rsidRPr="00281428">
        <w:rPr>
          <w:rFonts w:eastAsia="Times New Roman"/>
          <w:b/>
          <w:bCs/>
          <w:szCs w:val="24"/>
        </w:rPr>
        <w:tab/>
        <w:t xml:space="preserve">Oil. </w:t>
      </w:r>
    </w:p>
    <w:p w14:paraId="7E23158C" w14:textId="77777777" w:rsidR="00FC537E" w:rsidRPr="00281428" w:rsidRDefault="00FC537E" w:rsidP="00FC537E">
      <w:pPr>
        <w:tabs>
          <w:tab w:val="left" w:pos="540"/>
        </w:tabs>
        <w:ind w:left="360"/>
        <w:rPr>
          <w:rFonts w:eastAsia="Times New Roman"/>
          <w:b/>
          <w:bCs/>
          <w:szCs w:val="24"/>
        </w:rPr>
      </w:pPr>
      <w:bookmarkStart w:id="119" w:name="_Toc529205505"/>
      <w:r w:rsidRPr="00281428">
        <w:rPr>
          <w:rFonts w:eastAsia="Times New Roman"/>
          <w:b/>
          <w:bCs/>
          <w:szCs w:val="24"/>
        </w:rPr>
        <w:t>3.13.1.  Labeling of Vehicle Engine (Motor) Oil Required.</w:t>
      </w:r>
      <w:bookmarkEnd w:id="119"/>
    </w:p>
    <w:p w14:paraId="22FEA2BB" w14:textId="77777777" w:rsidR="00FC537E" w:rsidRPr="00281428" w:rsidRDefault="00FC537E" w:rsidP="00FC537E">
      <w:pPr>
        <w:tabs>
          <w:tab w:val="left" w:pos="540"/>
        </w:tabs>
        <w:spacing w:after="0"/>
        <w:ind w:left="720"/>
        <w:rPr>
          <w:rFonts w:eastAsia="Times New Roman"/>
          <w:szCs w:val="24"/>
        </w:rPr>
      </w:pPr>
      <w:bookmarkStart w:id="120" w:name="_Toc529205506"/>
      <w:r w:rsidRPr="00281428">
        <w:rPr>
          <w:rFonts w:eastAsia="Times New Roman"/>
          <w:b/>
          <w:bCs/>
          <w:szCs w:val="24"/>
        </w:rPr>
        <w:t>3.13.1.1.  Viscosity.</w:t>
      </w:r>
      <w:bookmarkEnd w:id="120"/>
      <w:r w:rsidRPr="00281428">
        <w:rPr>
          <w:rFonts w:eastAsia="Times New Roman"/>
          <w:szCs w:val="24"/>
        </w:rPr>
        <w:t xml:space="preserve"> –The label on any vehicle engine (motor) oil container, receptacle, dispenser, or storage tank and the invoice or receipt from service on an engine that includes the installation of bulk vehicle engine (motor) oil dispensed from a receptacle, dispenser, or storage tank shall contain the viscosity grade classification preceded by the letters “SAE” in accordance with the SAE International’s latest version of SAE J300, “Engine Oil Viscosity Classification.”</w:t>
      </w:r>
    </w:p>
    <w:p w14:paraId="1DB5B7FA" w14:textId="77777777" w:rsidR="00FC537E" w:rsidRPr="00281428" w:rsidRDefault="00FC537E" w:rsidP="00FC537E">
      <w:pPr>
        <w:spacing w:before="60"/>
        <w:ind w:left="720"/>
        <w:rPr>
          <w:rFonts w:eastAsia="Times New Roman"/>
          <w:szCs w:val="24"/>
        </w:rPr>
      </w:pPr>
      <w:r w:rsidRPr="00281428">
        <w:rPr>
          <w:rFonts w:eastAsia="Times New Roman"/>
          <w:szCs w:val="24"/>
        </w:rPr>
        <w:t>(Amended 2012 and 2014)</w:t>
      </w:r>
    </w:p>
    <w:p w14:paraId="5F5FB5B4" w14:textId="77777777" w:rsidR="00FC537E" w:rsidRPr="00281428" w:rsidRDefault="00FC537E" w:rsidP="00FC537E">
      <w:pPr>
        <w:tabs>
          <w:tab w:val="left" w:pos="540"/>
        </w:tabs>
        <w:spacing w:after="0"/>
        <w:ind w:left="720"/>
        <w:rPr>
          <w:rFonts w:eastAsia="Times New Roman"/>
          <w:szCs w:val="24"/>
        </w:rPr>
      </w:pPr>
      <w:bookmarkStart w:id="121" w:name="_Toc529205507"/>
      <w:r w:rsidRPr="00281428">
        <w:rPr>
          <w:rFonts w:eastAsia="Times New Roman"/>
          <w:b/>
          <w:bCs/>
          <w:szCs w:val="24"/>
        </w:rPr>
        <w:t>3.13.1.2.  Brand.</w:t>
      </w:r>
      <w:bookmarkEnd w:id="121"/>
      <w:r w:rsidRPr="00281428">
        <w:rPr>
          <w:rFonts w:eastAsia="Times New Roman"/>
          <w:b/>
          <w:bCs/>
          <w:szCs w:val="24"/>
        </w:rPr>
        <w:t xml:space="preserve"> </w:t>
      </w:r>
      <w:r w:rsidRPr="00281428">
        <w:rPr>
          <w:rFonts w:eastAsia="Times New Roman"/>
          <w:szCs w:val="24"/>
        </w:rPr>
        <w:t>–The label on any vehicle engine (motor) oil container and the invoice or receipt from service on an engine that includes the installation of bulk vehicle engine (motor) oil dispensed from a receptacle, dispenser, or storage tank shall contain the name, brand, trademark, or trade name of the vehicle engine (motor) oil.</w:t>
      </w:r>
    </w:p>
    <w:p w14:paraId="75CAA9F5" w14:textId="77777777" w:rsidR="00FC537E" w:rsidRPr="00281428" w:rsidRDefault="00FC537E" w:rsidP="00FC537E">
      <w:pPr>
        <w:spacing w:before="60"/>
        <w:ind w:left="720"/>
        <w:rPr>
          <w:rFonts w:eastAsia="Times New Roman"/>
          <w:szCs w:val="24"/>
        </w:rPr>
      </w:pPr>
      <w:r w:rsidRPr="00281428">
        <w:rPr>
          <w:rFonts w:eastAsia="Times New Roman"/>
          <w:szCs w:val="24"/>
        </w:rPr>
        <w:t>(Added 2012 and 2014)</w:t>
      </w:r>
    </w:p>
    <w:p w14:paraId="7AE70799" w14:textId="77777777" w:rsidR="00FC537E" w:rsidRPr="00281428" w:rsidRDefault="00FC537E" w:rsidP="00FC537E">
      <w:pPr>
        <w:tabs>
          <w:tab w:val="left" w:pos="540"/>
        </w:tabs>
        <w:spacing w:after="0"/>
        <w:ind w:left="720"/>
        <w:rPr>
          <w:rFonts w:eastAsia="Times New Roman"/>
          <w:szCs w:val="24"/>
        </w:rPr>
      </w:pPr>
      <w:bookmarkStart w:id="122" w:name="_Toc529205508"/>
      <w:r w:rsidRPr="00281428">
        <w:rPr>
          <w:rFonts w:eastAsia="Times New Roman"/>
          <w:b/>
          <w:bCs/>
          <w:szCs w:val="24"/>
        </w:rPr>
        <w:lastRenderedPageBreak/>
        <w:t>3.13.1.3.  Engine Service Category.</w:t>
      </w:r>
      <w:bookmarkEnd w:id="122"/>
      <w:r w:rsidRPr="00281428">
        <w:rPr>
          <w:rFonts w:eastAsia="Times New Roman"/>
          <w:bCs/>
          <w:szCs w:val="24"/>
        </w:rPr>
        <w:t xml:space="preserve"> </w:t>
      </w:r>
      <w:r w:rsidRPr="00281428">
        <w:rPr>
          <w:rFonts w:eastAsia="Times New Roman"/>
          <w:szCs w:val="24"/>
        </w:rPr>
        <w:t>–The label on any vehicle engine (motor) oil container, receptacle, dispenser or storage tank and the invoice or receipt from service on an engine that includes the installation of bulk vehicle engine (motor) oil dispensed from a receptacle, dispenser, or storage tank shall contain the engine service category, or categories, displayed in letters not less than 3.18 mm (</w:t>
      </w:r>
      <w:r w:rsidRPr="00281428">
        <w:rPr>
          <w:rFonts w:eastAsia="Times New Roman"/>
          <w:spacing w:val="-10"/>
          <w:szCs w:val="20"/>
          <w:vertAlign w:val="superscript"/>
        </w:rPr>
        <w:t>1</w:t>
      </w:r>
      <w:r w:rsidRPr="00281428">
        <w:rPr>
          <w:rFonts w:eastAsia="Times New Roman"/>
          <w:spacing w:val="-10"/>
          <w:szCs w:val="24"/>
        </w:rPr>
        <w:t>/</w:t>
      </w:r>
      <w:r w:rsidRPr="00281428">
        <w:rPr>
          <w:rFonts w:eastAsia="Times New Roman"/>
          <w:spacing w:val="-10"/>
          <w:szCs w:val="20"/>
          <w:vertAlign w:val="subscript"/>
        </w:rPr>
        <w:t>8</w:t>
      </w:r>
      <w:r w:rsidRPr="00281428">
        <w:rPr>
          <w:rFonts w:eastAsia="Times New Roman"/>
          <w:szCs w:val="24"/>
        </w:rPr>
        <w:t> in) in height, as defined by the latest version of SAE J183, “Engine Oil Performance and Engine Service Classification (Other than “Energy Conserving”)” API Publication 1509, “Engine Oil Licensing and Certification System,”  European Automobile Manufacturers Association (ACEA), “European Oil Sequences,” or other “Vehicle or Engine Manufacturer Standards” as provided in Section 3.13.1.3.1.</w:t>
      </w:r>
    </w:p>
    <w:p w14:paraId="0C1B727E" w14:textId="77777777" w:rsidR="00FC537E" w:rsidRPr="00281428" w:rsidRDefault="00FC537E" w:rsidP="00FC537E">
      <w:pPr>
        <w:spacing w:before="60"/>
        <w:ind w:left="720"/>
        <w:rPr>
          <w:rFonts w:eastAsia="Times New Roman"/>
          <w:szCs w:val="24"/>
        </w:rPr>
      </w:pPr>
      <w:r w:rsidRPr="00281428">
        <w:rPr>
          <w:rFonts w:eastAsia="Times New Roman"/>
          <w:szCs w:val="24"/>
        </w:rPr>
        <w:t>(Amended 2012 and 2014)</w:t>
      </w:r>
    </w:p>
    <w:p w14:paraId="140413A2" w14:textId="77777777" w:rsidR="00FC537E" w:rsidRPr="00281428" w:rsidRDefault="00FC537E" w:rsidP="00FC537E">
      <w:pPr>
        <w:tabs>
          <w:tab w:val="left" w:pos="540"/>
        </w:tabs>
        <w:spacing w:after="0"/>
        <w:ind w:left="1080"/>
        <w:rPr>
          <w:rFonts w:eastAsia="Times New Roman"/>
          <w:szCs w:val="24"/>
        </w:rPr>
      </w:pPr>
      <w:r w:rsidRPr="00281428">
        <w:rPr>
          <w:rFonts w:eastAsia="Times New Roman"/>
          <w:b/>
          <w:szCs w:val="24"/>
        </w:rPr>
        <w:t>3.13.1.3.1. Vehicle or Engine Manufacturer Standard. –</w:t>
      </w:r>
      <w:r w:rsidRPr="00281428">
        <w:rPr>
          <w:rFonts w:eastAsia="Times New Roman"/>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identify the specific vehicle or engine manufacturer standard, or standards, met in letters not less than 3.18 mm (</w:t>
      </w:r>
      <w:r w:rsidRPr="00281428">
        <w:rPr>
          <w:rFonts w:eastAsia="Times New Roman"/>
          <w:position w:val="-2"/>
          <w:szCs w:val="24"/>
          <w:vertAlign w:val="superscript"/>
        </w:rPr>
        <w:t>1</w:t>
      </w:r>
      <w:r w:rsidRPr="00281428">
        <w:rPr>
          <w:rFonts w:eastAsia="Times New Roman"/>
          <w:szCs w:val="24"/>
        </w:rPr>
        <w:t>/</w:t>
      </w:r>
      <w:r w:rsidRPr="00281428">
        <w:rPr>
          <w:rFonts w:eastAsia="Times New Roman"/>
          <w:position w:val="2"/>
          <w:szCs w:val="24"/>
          <w:vertAlign w:val="subscript"/>
        </w:rPr>
        <w:t>8</w:t>
      </w:r>
      <w:r w:rsidRPr="00281428">
        <w:rPr>
          <w:rFonts w:eastAsia="Times New Roman"/>
          <w:szCs w:val="24"/>
        </w:rPr>
        <w:t xml:space="preserve"> in) in height.  If the vehicle (motor) oil only meets a vehicle or engine manufacturer standard, the label must clearly identify that the oil is only intended for use where specifically recommended by the vehicle or engine manufacturer.</w:t>
      </w:r>
    </w:p>
    <w:p w14:paraId="7B71E8BE" w14:textId="77777777" w:rsidR="00FC537E" w:rsidRPr="00281428" w:rsidRDefault="00FC537E" w:rsidP="00FC537E">
      <w:pPr>
        <w:tabs>
          <w:tab w:val="left" w:pos="540"/>
        </w:tabs>
        <w:spacing w:before="60"/>
        <w:ind w:left="1080"/>
        <w:rPr>
          <w:rFonts w:eastAsia="Times New Roman"/>
          <w:szCs w:val="24"/>
        </w:rPr>
      </w:pPr>
      <w:r w:rsidRPr="00281428">
        <w:rPr>
          <w:rFonts w:eastAsia="Times New Roman"/>
          <w:szCs w:val="24"/>
        </w:rPr>
        <w:t>(Added 2014)</w:t>
      </w:r>
    </w:p>
    <w:p w14:paraId="5BFAB862" w14:textId="67E560BB" w:rsidR="00FC537E" w:rsidRPr="00281428" w:rsidRDefault="00FC537E" w:rsidP="00FC537E">
      <w:pPr>
        <w:tabs>
          <w:tab w:val="left" w:pos="540"/>
        </w:tabs>
        <w:spacing w:after="0"/>
        <w:ind w:left="1080"/>
        <w:rPr>
          <w:rFonts w:eastAsia="Times New Roman"/>
          <w:szCs w:val="24"/>
        </w:rPr>
      </w:pPr>
      <w:bookmarkStart w:id="123" w:name="_Hlk63081114"/>
      <w:r w:rsidRPr="00281428">
        <w:rPr>
          <w:rFonts w:eastAsia="Times New Roman"/>
          <w:b/>
          <w:szCs w:val="24"/>
        </w:rPr>
        <w:t>3.13.1.3.2. Inactive or Obsolete Service Categories. –</w:t>
      </w:r>
      <w:r w:rsidRPr="00281428">
        <w:rPr>
          <w:rFonts w:eastAsia="Times New Roman"/>
          <w:b/>
          <w:strike/>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the latest version of SAE J183, “Engine Oil Performance and Engine Service Classification (Other than “Energy Conserving”)” Appendix A,</w:t>
      </w:r>
      <w:r w:rsidRPr="00281428">
        <w:rPr>
          <w:rFonts w:eastAsia="Times New Roman"/>
          <w:szCs w:val="24"/>
        </w:rPr>
        <w:t xml:space="preserve"> </w:t>
      </w:r>
      <w:r w:rsidRPr="00281428">
        <w:rPr>
          <w:rFonts w:eastAsia="Times New Roman"/>
          <w:b/>
          <w:szCs w:val="24"/>
          <w:u w:val="single"/>
        </w:rPr>
        <w:t>W</w:t>
      </w:r>
      <w:r w:rsidRPr="00281428">
        <w:rPr>
          <w:rFonts w:eastAsia="Times New Roman"/>
          <w:szCs w:val="24"/>
        </w:rPr>
        <w:t xml:space="preserve">henever </w:t>
      </w:r>
      <w:r w:rsidRPr="00281428">
        <w:rPr>
          <w:rFonts w:eastAsia="Times New Roman"/>
          <w:b/>
          <w:strike/>
          <w:szCs w:val="24"/>
        </w:rPr>
        <w:t>the</w:t>
      </w:r>
      <w:r w:rsidRPr="00281428">
        <w:rPr>
          <w:rFonts w:eastAsia="Times New Roman"/>
          <w:szCs w:val="24"/>
        </w:rPr>
        <w:t xml:space="preserve"> </w:t>
      </w:r>
      <w:r w:rsidRPr="00281428">
        <w:rPr>
          <w:rFonts w:eastAsia="Times New Roman"/>
          <w:b/>
          <w:szCs w:val="24"/>
          <w:u w:val="single"/>
        </w:rPr>
        <w:t xml:space="preserve">any </w:t>
      </w:r>
      <w:r w:rsidRPr="00281428">
        <w:rPr>
          <w:rFonts w:eastAsia="Times New Roman"/>
          <w:szCs w:val="24"/>
        </w:rPr>
        <w:t xml:space="preserve">vehicle engine (motor) oil in </w:t>
      </w:r>
      <w:r w:rsidRPr="00281428">
        <w:rPr>
          <w:rFonts w:eastAsia="Times New Roman"/>
          <w:b/>
          <w:strike/>
          <w:szCs w:val="24"/>
        </w:rPr>
        <w:t>the</w:t>
      </w:r>
      <w:r w:rsidRPr="00281428">
        <w:rPr>
          <w:rFonts w:eastAsia="Times New Roman"/>
          <w:szCs w:val="24"/>
        </w:rPr>
        <w:t xml:space="preserve"> </w:t>
      </w:r>
      <w:r w:rsidRPr="00281428">
        <w:rPr>
          <w:rFonts w:eastAsia="Times New Roman"/>
          <w:b/>
          <w:szCs w:val="24"/>
          <w:u w:val="single"/>
        </w:rPr>
        <w:t>a</w:t>
      </w:r>
      <w:r w:rsidRPr="00281428">
        <w:rPr>
          <w:rFonts w:eastAsia="Times New Roman"/>
          <w:szCs w:val="24"/>
        </w:rPr>
        <w:t xml:space="preserve"> container</w:t>
      </w:r>
      <w:r w:rsidRPr="00281428">
        <w:rPr>
          <w:rFonts w:eastAsia="Times New Roman"/>
          <w:b/>
          <w:szCs w:val="24"/>
          <w:u w:val="single"/>
        </w:rPr>
        <w:t xml:space="preserve"> receptacle, dispenser, storage tank</w:t>
      </w:r>
      <w:r w:rsidRPr="00281428">
        <w:rPr>
          <w:rFonts w:eastAsia="Times New Roman"/>
          <w:szCs w:val="24"/>
        </w:rPr>
        <w:t xml:space="preserve"> or in bulk does not meet an active API service category as defined by the latest version of SAE J183, “Engine Oil Performance and Engine Service Classification (Other than “Energy Conserving”)</w:t>
      </w:r>
      <w:r w:rsidRPr="00281428">
        <w:rPr>
          <w:rFonts w:eastAsia="Times New Roman"/>
          <w:b/>
          <w:strike/>
          <w:szCs w:val="24"/>
        </w:rPr>
        <w:t>.</w:t>
      </w:r>
      <w:r w:rsidRPr="00281428">
        <w:rPr>
          <w:rFonts w:eastAsia="Times New Roman"/>
          <w:b/>
          <w:szCs w:val="24"/>
          <w:u w:val="single"/>
        </w:rPr>
        <w:t>,</w:t>
      </w:r>
      <w:r w:rsidRPr="00281428">
        <w:rPr>
          <w:rFonts w:eastAsia="Times New Roman"/>
          <w:szCs w:val="24"/>
        </w:rPr>
        <w:t xml:space="preserve">” </w:t>
      </w:r>
      <w:r w:rsidR="00825227" w:rsidRPr="00281428">
        <w:rPr>
          <w:rFonts w:eastAsia="Times New Roman"/>
          <w:b/>
          <w:bCs/>
          <w:szCs w:val="24"/>
          <w:u w:val="single"/>
        </w:rPr>
        <w:t>API Publication 1509, “Engine Oil Licensing and Certification System,”</w:t>
      </w:r>
      <w:r w:rsidR="00825227" w:rsidRPr="00281428">
        <w:rPr>
          <w:rFonts w:eastAsia="Times New Roman"/>
          <w:szCs w:val="24"/>
        </w:rPr>
        <w:t xml:space="preserve"> </w:t>
      </w:r>
      <w:r w:rsidR="00825227" w:rsidRPr="00281428">
        <w:rPr>
          <w:rFonts w:eastAsia="Times New Roman"/>
          <w:b/>
          <w:bCs/>
          <w:szCs w:val="24"/>
          <w:u w:val="single"/>
        </w:rPr>
        <w:t xml:space="preserve">European Automobile Manufacturers Association (ACEA), “European Oil Sequences,” or other Vehicle or Engine Manufacturer Standards as approved in Section 2.33.1.3.1., Vehicle Or Engine Manufacturer Standard </w:t>
      </w:r>
      <w:r w:rsidRPr="00281428">
        <w:rPr>
          <w:rFonts w:eastAsia="Times New Roman"/>
          <w:b/>
          <w:szCs w:val="24"/>
          <w:u w:val="single"/>
        </w:rPr>
        <w:t>the front or forward-facing label</w:t>
      </w:r>
      <w:r w:rsidRPr="00281428">
        <w:rPr>
          <w:rFonts w:eastAsia="Times New Roman"/>
          <w:szCs w:val="24"/>
        </w:rPr>
        <w:t xml:space="preserve"> </w:t>
      </w:r>
      <w:r w:rsidRPr="00281428">
        <w:rPr>
          <w:rFonts w:eastAsia="Times New Roman"/>
          <w:b/>
          <w:strike/>
          <w:szCs w:val="24"/>
        </w:rPr>
        <w:t>If a</w:t>
      </w:r>
      <w:r w:rsidRPr="00281428">
        <w:rPr>
          <w:rFonts w:eastAsia="Times New Roman"/>
          <w:szCs w:val="24"/>
        </w:rPr>
        <w:t xml:space="preserve"> </w:t>
      </w:r>
      <w:r w:rsidRPr="00281428">
        <w:rPr>
          <w:rFonts w:eastAsia="Times New Roman"/>
          <w:b/>
          <w:szCs w:val="24"/>
          <w:u w:val="single"/>
        </w:rPr>
        <w:t xml:space="preserve">of such </w:t>
      </w:r>
      <w:r w:rsidRPr="00281428">
        <w:rPr>
          <w:rFonts w:eastAsia="Times New Roman"/>
          <w:szCs w:val="24"/>
        </w:rPr>
        <w:t xml:space="preserve">vehicle engine (motor) oil </w:t>
      </w:r>
      <w:r w:rsidRPr="00281428">
        <w:rPr>
          <w:rFonts w:eastAsia="Times New Roman"/>
          <w:b/>
          <w:szCs w:val="24"/>
          <w:u w:val="single"/>
        </w:rPr>
        <w:t>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imes New Roman"/>
          <w:b/>
          <w:szCs w:val="24"/>
          <w:u w:val="single"/>
        </w:rPr>
        <w:t xml:space="preserve"> v</w:t>
      </w:r>
      <w:r w:rsidRPr="00281428">
        <w:rPr>
          <w:rFonts w:eastAsia="Times New Roman"/>
          <w:b/>
          <w:szCs w:val="24"/>
          <w:u w:val="single"/>
        </w:rPr>
        <w:t>isible cautionary statement set forth in the latest version of SAE J183, Appendix A.  Whenever any vehicle engine (motor) oil is declared obsolete by a vehicle or engine manufacturer, the front of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imes New Roman"/>
          <w:b/>
          <w:szCs w:val="24"/>
          <w:u w:val="single"/>
        </w:rPr>
        <w:t xml:space="preserve"> </w:t>
      </w:r>
      <w:r w:rsidRPr="00281428">
        <w:rPr>
          <w:rFonts w:eastAsia="Times New Roman"/>
          <w:b/>
          <w:szCs w:val="24"/>
          <w:u w:val="single"/>
        </w:rPr>
        <w:t xml:space="preserve">visible cautionary statement required by the vehicle or engine manufacturer. </w:t>
      </w:r>
    </w:p>
    <w:p w14:paraId="3C806F14" w14:textId="77777777" w:rsidR="00FC537E" w:rsidRPr="00281428" w:rsidRDefault="00FC537E" w:rsidP="00FC537E">
      <w:pPr>
        <w:tabs>
          <w:tab w:val="left" w:pos="540"/>
        </w:tabs>
        <w:spacing w:before="60"/>
        <w:ind w:left="1080"/>
        <w:rPr>
          <w:rFonts w:eastAsia="Times New Roman"/>
          <w:szCs w:val="24"/>
        </w:rPr>
      </w:pPr>
      <w:r w:rsidRPr="00281428">
        <w:rPr>
          <w:rFonts w:eastAsia="Times New Roman"/>
          <w:szCs w:val="24"/>
        </w:rPr>
        <w:t>(Added 2012) (Amended 2014</w:t>
      </w:r>
      <w:r w:rsidRPr="00281428">
        <w:rPr>
          <w:rFonts w:eastAsia="Times New Roman"/>
          <w:b/>
          <w:szCs w:val="24"/>
          <w:u w:val="single"/>
        </w:rPr>
        <w:t xml:space="preserve"> and 20XX</w:t>
      </w:r>
      <w:r w:rsidRPr="00281428">
        <w:rPr>
          <w:rFonts w:eastAsia="Times New Roman"/>
          <w:szCs w:val="24"/>
        </w:rPr>
        <w:t>)</w:t>
      </w:r>
    </w:p>
    <w:p w14:paraId="26322630" w14:textId="77777777" w:rsidR="00FC537E" w:rsidRPr="00281428" w:rsidRDefault="00FC537E" w:rsidP="00FC537E">
      <w:pPr>
        <w:spacing w:after="0"/>
        <w:ind w:left="720"/>
        <w:rPr>
          <w:b/>
          <w:u w:val="single"/>
        </w:rPr>
      </w:pPr>
      <w:bookmarkStart w:id="124" w:name="_Toc529205509"/>
      <w:bookmarkEnd w:id="123"/>
      <w:r w:rsidRPr="00281428">
        <w:rPr>
          <w:b/>
          <w:bCs/>
          <w:szCs w:val="24"/>
        </w:rPr>
        <w:t>3.13.1.4.  Tank Trucks or Rail Cars.</w:t>
      </w:r>
      <w:bookmarkEnd w:id="124"/>
      <w:r w:rsidRPr="00281428">
        <w:rPr>
          <w:b/>
        </w:rPr>
        <w:t xml:space="preserve"> </w:t>
      </w:r>
      <w:r w:rsidRPr="00281428">
        <w:t>Tank trucks, rail cars, and types of delivery trucks that are used to deliver bulk vehicle engine (motor) oil are not required to display the SAE viscosity grade and service category or categories on such tank trucks, rail cars, and other types of delivery trucks.</w:t>
      </w:r>
      <w:r w:rsidRPr="00281428">
        <w:rPr>
          <w:b/>
          <w:u w:val="single"/>
        </w:rPr>
        <w:t xml:space="preserve">  In lieu of such display requirements the documentation defined in Section 3.13.1.5. Documentation shall be readily available for inspection.</w:t>
      </w:r>
    </w:p>
    <w:p w14:paraId="6CEFC3B2" w14:textId="77777777" w:rsidR="00FC537E" w:rsidRPr="00281428" w:rsidRDefault="00FC537E" w:rsidP="00FC537E">
      <w:pPr>
        <w:spacing w:before="60"/>
        <w:ind w:left="720"/>
        <w:rPr>
          <w:rFonts w:eastAsia="Times New Roman"/>
          <w:szCs w:val="24"/>
        </w:rPr>
      </w:pPr>
      <w:r w:rsidRPr="00281428">
        <w:rPr>
          <w:rFonts w:eastAsia="Times New Roman"/>
          <w:szCs w:val="24"/>
        </w:rPr>
        <w:t>(Added 2012) (Amend 2013</w:t>
      </w:r>
      <w:r w:rsidRPr="00281428">
        <w:rPr>
          <w:rFonts w:eastAsia="Times New Roman"/>
          <w:b/>
          <w:szCs w:val="24"/>
          <w:u w:val="single"/>
        </w:rPr>
        <w:t>,</w:t>
      </w:r>
      <w:r w:rsidRPr="00281428">
        <w:rPr>
          <w:rFonts w:eastAsia="Times New Roman"/>
          <w:szCs w:val="24"/>
        </w:rPr>
        <w:t xml:space="preserve"> </w:t>
      </w:r>
      <w:r w:rsidRPr="00281428">
        <w:rPr>
          <w:rFonts w:eastAsia="Times New Roman"/>
          <w:b/>
          <w:strike/>
          <w:szCs w:val="24"/>
        </w:rPr>
        <w:t>and</w:t>
      </w:r>
      <w:r w:rsidRPr="00281428">
        <w:rPr>
          <w:rFonts w:eastAsia="Times New Roman"/>
          <w:szCs w:val="24"/>
        </w:rPr>
        <w:t xml:space="preserve"> 2014</w:t>
      </w:r>
      <w:r w:rsidRPr="00281428">
        <w:rPr>
          <w:rFonts w:eastAsia="Times New Roman"/>
          <w:b/>
          <w:szCs w:val="24"/>
          <w:u w:val="single"/>
        </w:rPr>
        <w:t xml:space="preserve"> and 20XX</w:t>
      </w:r>
      <w:r w:rsidRPr="00281428">
        <w:rPr>
          <w:rFonts w:eastAsia="Times New Roman"/>
          <w:szCs w:val="24"/>
        </w:rPr>
        <w:t xml:space="preserve">) </w:t>
      </w:r>
    </w:p>
    <w:p w14:paraId="45336FB6" w14:textId="77777777" w:rsidR="00FC537E" w:rsidRPr="00281428" w:rsidRDefault="00FC537E" w:rsidP="00FF4509">
      <w:pPr>
        <w:spacing w:before="60" w:after="0"/>
        <w:ind w:left="720"/>
      </w:pPr>
      <w:bookmarkStart w:id="125" w:name="_Toc529205510"/>
      <w:r w:rsidRPr="00281428">
        <w:rPr>
          <w:b/>
          <w:bCs/>
          <w:szCs w:val="24"/>
        </w:rPr>
        <w:t>3.13.1.5.  Documentation.</w:t>
      </w:r>
      <w:bookmarkEnd w:id="125"/>
      <w:r w:rsidRPr="00281428">
        <w:t xml:space="preserve"> – When the engine (motor) oil is sold in bulk, an invoice, bill of lading, shipping paper, or other documentation must accompany each delivery.  This document must identify the quantity of bulk engine (motor) oil delivered as defined in Sections 3.13.1.1. Viscosity,</w:t>
      </w:r>
      <w:r w:rsidRPr="00281428">
        <w:rPr>
          <w:b/>
          <w:u w:val="single"/>
        </w:rPr>
        <w:t xml:space="preserve"> grade as defined by the latest version of SAE J300 “Engine Oil Viscosity Classification”; </w:t>
      </w:r>
      <w:r w:rsidRPr="00281428">
        <w:t xml:space="preserve">3.13.1.2. Brand; 3.13.1.3. Engine Service Category; the name and address of the seller and buyer; and the date and time of the sale.  For inactive or </w:t>
      </w:r>
      <w:r w:rsidRPr="00281428">
        <w:lastRenderedPageBreak/>
        <w:t>obsolete service categories, the documentation shall also bear a plainly visible cautionary statement as required in Section 3.13.1.3.2. Inactive or Obsolete Service Categories.  Documentation must be retained at the retail establishment for a period of not less than one year.</w:t>
      </w:r>
    </w:p>
    <w:p w14:paraId="61517042" w14:textId="77777777" w:rsidR="00FC537E" w:rsidRPr="00281428" w:rsidRDefault="00FC537E" w:rsidP="00FF4509">
      <w:pPr>
        <w:spacing w:before="60" w:after="0"/>
        <w:ind w:left="720"/>
      </w:pPr>
      <w:r w:rsidRPr="00281428">
        <w:t>(Added 2013)</w:t>
      </w:r>
      <w:r w:rsidRPr="00281428" w:rsidDel="00FB2715">
        <w:t xml:space="preserve"> </w:t>
      </w:r>
      <w:r w:rsidRPr="00281428">
        <w:t>(Amended 2014)</w:t>
      </w:r>
    </w:p>
    <w:p w14:paraId="0C4C7756" w14:textId="77777777" w:rsidR="00FC537E" w:rsidRPr="00281428" w:rsidRDefault="00FC537E" w:rsidP="00FF4509">
      <w:pPr>
        <w:spacing w:before="60"/>
        <w:rPr>
          <w:u w:val="single"/>
        </w:rPr>
      </w:pPr>
      <w:r w:rsidRPr="00281428">
        <w:t xml:space="preserve">(Amended 2012, 2013, and 2014) </w:t>
      </w:r>
    </w:p>
    <w:p w14:paraId="6C8ACC2C" w14:textId="77777777" w:rsidR="00FC537E" w:rsidRPr="00281428" w:rsidRDefault="00FC537E" w:rsidP="00FF4509">
      <w:pPr>
        <w:tabs>
          <w:tab w:val="left" w:pos="540"/>
        </w:tabs>
        <w:ind w:left="360"/>
        <w:rPr>
          <w:rFonts w:eastAsia="Times New Roman"/>
          <w:b/>
          <w:bCs/>
          <w:szCs w:val="24"/>
        </w:rPr>
      </w:pPr>
      <w:bookmarkStart w:id="126" w:name="_Toc529205511"/>
      <w:r w:rsidRPr="00281428">
        <w:rPr>
          <w:rFonts w:eastAsia="Times New Roman"/>
          <w:b/>
          <w:bCs/>
          <w:szCs w:val="24"/>
        </w:rPr>
        <w:t>3.13.2.  Labeling of Recreational Motor Oil.</w:t>
      </w:r>
      <w:bookmarkEnd w:id="126"/>
    </w:p>
    <w:p w14:paraId="23C79B16" w14:textId="77777777" w:rsidR="00FC537E" w:rsidRPr="00281428" w:rsidRDefault="00FC537E" w:rsidP="00FF4509">
      <w:pPr>
        <w:tabs>
          <w:tab w:val="left" w:pos="540"/>
        </w:tabs>
        <w:ind w:left="720"/>
        <w:rPr>
          <w:rFonts w:eastAsia="Times New Roman"/>
          <w:szCs w:val="24"/>
        </w:rPr>
      </w:pPr>
      <w:bookmarkStart w:id="127" w:name="_Toc529205512"/>
      <w:r w:rsidRPr="00281428">
        <w:rPr>
          <w:rFonts w:eastAsia="Times New Roman"/>
          <w:b/>
          <w:bCs/>
          <w:szCs w:val="24"/>
        </w:rPr>
        <w:t>3.13.2.1.  Viscosity.</w:t>
      </w:r>
      <w:bookmarkEnd w:id="127"/>
      <w:r w:rsidRPr="00281428">
        <w:rPr>
          <w:rFonts w:eastAsia="Times New Roman"/>
          <w:bCs/>
          <w:szCs w:val="24"/>
        </w:rPr>
        <w:t xml:space="preserve"> </w:t>
      </w:r>
      <w:r w:rsidRPr="00281428">
        <w:rPr>
          <w:rFonts w:eastAsia="Times New Roman"/>
          <w:szCs w:val="24"/>
        </w:rPr>
        <w:t>The label on each container of recreational motor oil shall contain the viscosity grade classification preceded by the letters “SAE” in accordance with the SAE International’s latest version of SAE J300, “Engine Oil Viscosity Classification.”</w:t>
      </w:r>
    </w:p>
    <w:p w14:paraId="3B95726F" w14:textId="77777777" w:rsidR="00FC537E" w:rsidRPr="00281428" w:rsidRDefault="00FC537E" w:rsidP="00FF4509">
      <w:pPr>
        <w:tabs>
          <w:tab w:val="left" w:pos="540"/>
        </w:tabs>
        <w:ind w:left="720"/>
        <w:rPr>
          <w:rFonts w:eastAsia="Times New Roman"/>
          <w:szCs w:val="24"/>
        </w:rPr>
      </w:pPr>
      <w:bookmarkStart w:id="128" w:name="_Toc529205513"/>
      <w:r w:rsidRPr="00281428">
        <w:rPr>
          <w:rFonts w:eastAsia="Times New Roman"/>
          <w:b/>
          <w:bCs/>
          <w:szCs w:val="24"/>
        </w:rPr>
        <w:t>3.13.2.2.  Intended Use.</w:t>
      </w:r>
      <w:bookmarkEnd w:id="128"/>
      <w:r w:rsidRPr="00281428">
        <w:rPr>
          <w:rFonts w:eastAsia="Times New Roman"/>
          <w:bCs/>
          <w:szCs w:val="24"/>
        </w:rPr>
        <w:t xml:space="preserve"> </w:t>
      </w:r>
      <w:r w:rsidRPr="00281428">
        <w:rPr>
          <w:rFonts w:eastAsia="Times New Roman"/>
          <w:szCs w:val="24"/>
        </w:rPr>
        <w:t>–The label on each container of recreational motor oil shall contain a statement of its intended use in accordance with the latest version of SAE J300, “Engine Oil Viscosity Classification.”</w:t>
      </w:r>
    </w:p>
    <w:p w14:paraId="6F53E530" w14:textId="77777777" w:rsidR="00FC537E" w:rsidRPr="00281428" w:rsidRDefault="00FC537E" w:rsidP="00FF4509">
      <w:pPr>
        <w:tabs>
          <w:tab w:val="left" w:pos="540"/>
        </w:tabs>
        <w:ind w:left="360"/>
        <w:rPr>
          <w:rFonts w:eastAsia="Times New Roman"/>
          <w:b/>
          <w:bCs/>
          <w:szCs w:val="24"/>
        </w:rPr>
      </w:pPr>
      <w:bookmarkStart w:id="129" w:name="_Toc529205514"/>
      <w:r w:rsidRPr="00281428">
        <w:rPr>
          <w:rFonts w:eastAsia="Times New Roman"/>
          <w:b/>
          <w:bCs/>
          <w:szCs w:val="24"/>
        </w:rPr>
        <w:t>3.13.3.  Labeling of Gear Oil.</w:t>
      </w:r>
      <w:bookmarkEnd w:id="129"/>
    </w:p>
    <w:p w14:paraId="008C4C9D" w14:textId="77777777" w:rsidR="00FC537E" w:rsidRPr="00281428" w:rsidRDefault="00FC537E" w:rsidP="00FF4509">
      <w:pPr>
        <w:tabs>
          <w:tab w:val="left" w:pos="540"/>
        </w:tabs>
        <w:ind w:left="720"/>
        <w:rPr>
          <w:rFonts w:eastAsia="Times New Roman"/>
          <w:szCs w:val="24"/>
        </w:rPr>
      </w:pPr>
      <w:bookmarkStart w:id="130" w:name="_Toc529205515"/>
      <w:r w:rsidRPr="00281428">
        <w:rPr>
          <w:rFonts w:eastAsia="Times New Roman"/>
          <w:b/>
          <w:bCs/>
          <w:szCs w:val="24"/>
        </w:rPr>
        <w:t>3.13.3.1.  Viscosity.</w:t>
      </w:r>
      <w:bookmarkEnd w:id="130"/>
      <w:r w:rsidRPr="00281428">
        <w:rPr>
          <w:rFonts w:eastAsia="Times New Roman"/>
          <w:bCs/>
          <w:szCs w:val="24"/>
        </w:rPr>
        <w:t xml:space="preserve"> </w:t>
      </w:r>
      <w:r w:rsidRPr="00281428">
        <w:rPr>
          <w:rFonts w:eastAsia="Times New Roman"/>
          <w:szCs w:val="24"/>
        </w:rPr>
        <w:t>–The label on each container of gear oil shall contain the viscosity grade classification preceded by the letters “SAE” in accordance with the SAE International’s latest version of SAE J306, “Automotive Gear Lubricant Viscosity Classification” or SAE J300, “Engine Oil Viscosity Classification.”</w:t>
      </w:r>
    </w:p>
    <w:p w14:paraId="2163E559" w14:textId="77777777" w:rsidR="00FC537E" w:rsidRPr="00281428" w:rsidRDefault="00FC537E" w:rsidP="00FF4509">
      <w:pPr>
        <w:tabs>
          <w:tab w:val="left" w:pos="540"/>
        </w:tabs>
        <w:ind w:left="1080"/>
        <w:rPr>
          <w:rFonts w:eastAsia="Times New Roman"/>
          <w:szCs w:val="24"/>
        </w:rPr>
      </w:pPr>
      <w:r w:rsidRPr="00281428">
        <w:rPr>
          <w:rFonts w:eastAsia="Times New Roman"/>
          <w:b/>
          <w:bCs/>
          <w:szCs w:val="24"/>
        </w:rPr>
        <w:t xml:space="preserve">3.13.3.1.1.  Exception. </w:t>
      </w:r>
      <w:r w:rsidRPr="00281428">
        <w:rPr>
          <w:rFonts w:eastAsia="Times New Roman"/>
          <w:szCs w:val="24"/>
        </w:rPr>
        <w:t>–Some automotive equipment manufacturers may not specify an SAE viscosity grade requirement for some applications.  Gear oils intended to be used only in such applications are not required to contain an SAE viscosity grade on their labels.</w:t>
      </w:r>
    </w:p>
    <w:p w14:paraId="106257A9" w14:textId="77777777" w:rsidR="00FC537E" w:rsidRPr="00281428" w:rsidRDefault="00FC537E" w:rsidP="00FF4509">
      <w:pPr>
        <w:tabs>
          <w:tab w:val="left" w:pos="540"/>
        </w:tabs>
        <w:spacing w:after="0"/>
        <w:ind w:left="720"/>
        <w:rPr>
          <w:rFonts w:eastAsia="Times New Roman"/>
          <w:szCs w:val="24"/>
        </w:rPr>
      </w:pPr>
      <w:bookmarkStart w:id="131" w:name="_Toc529205516"/>
      <w:r w:rsidRPr="00281428">
        <w:rPr>
          <w:rFonts w:eastAsia="Times New Roman"/>
          <w:b/>
          <w:bCs/>
          <w:szCs w:val="24"/>
        </w:rPr>
        <w:t>3.13.3.2.  Service Category.</w:t>
      </w:r>
      <w:bookmarkEnd w:id="131"/>
      <w:r w:rsidRPr="00281428">
        <w:rPr>
          <w:rFonts w:eastAsia="Times New Roman"/>
          <w:szCs w:val="24"/>
        </w:rPr>
        <w:t xml:space="preserve"> –The label on each container of gear oil shall contain the service category, or categories, in letters not less than 3.18 mm (</w:t>
      </w:r>
      <w:r w:rsidRPr="00281428">
        <w:rPr>
          <w:rFonts w:eastAsia="Times New Roman"/>
          <w:spacing w:val="-10"/>
          <w:szCs w:val="20"/>
          <w:vertAlign w:val="superscript"/>
        </w:rPr>
        <w:t>1</w:t>
      </w:r>
      <w:r w:rsidRPr="00281428">
        <w:rPr>
          <w:rFonts w:eastAsia="Times New Roman"/>
          <w:spacing w:val="-10"/>
          <w:szCs w:val="24"/>
        </w:rPr>
        <w:t>/</w:t>
      </w:r>
      <w:r w:rsidRPr="00281428">
        <w:rPr>
          <w:rFonts w:eastAsia="Times New Roman"/>
          <w:spacing w:val="-10"/>
          <w:szCs w:val="20"/>
          <w:vertAlign w:val="subscript"/>
        </w:rPr>
        <w:t>8</w:t>
      </w:r>
      <w:r w:rsidRPr="00281428">
        <w:rPr>
          <w:rFonts w:eastAsia="Times New Roman"/>
          <w:szCs w:val="24"/>
        </w:rPr>
        <w:t> in) in height, as defined by the latest version of SAE J308, “Axle and Manual Transmission Lubricants.”</w:t>
      </w:r>
    </w:p>
    <w:p w14:paraId="27C9A295" w14:textId="77777777" w:rsidR="00FC537E" w:rsidRPr="00281428" w:rsidRDefault="00FC537E" w:rsidP="00FF4509">
      <w:pPr>
        <w:tabs>
          <w:tab w:val="left" w:pos="540"/>
        </w:tabs>
        <w:spacing w:before="60"/>
        <w:rPr>
          <w:rFonts w:eastAsia="Times New Roman"/>
          <w:szCs w:val="24"/>
        </w:rPr>
      </w:pPr>
      <w:r w:rsidRPr="00281428">
        <w:rPr>
          <w:rFonts w:eastAsia="Times New Roman"/>
          <w:szCs w:val="24"/>
        </w:rPr>
        <w:t>(Added 2004)</w:t>
      </w:r>
    </w:p>
    <w:p w14:paraId="7D6F0874" w14:textId="77777777" w:rsidR="00FC537E" w:rsidRPr="00281428" w:rsidRDefault="00FC537E" w:rsidP="00FF4509">
      <w:pPr>
        <w:tabs>
          <w:tab w:val="left" w:pos="360"/>
        </w:tabs>
        <w:spacing w:before="240"/>
        <w:outlineLvl w:val="5"/>
        <w:rPr>
          <w:rFonts w:eastAsia="Times New Roman"/>
          <w:b/>
          <w:bCs/>
          <w:sz w:val="24"/>
          <w:szCs w:val="20"/>
        </w:rPr>
      </w:pPr>
      <w:r w:rsidRPr="00281428">
        <w:rPr>
          <w:rFonts w:eastAsia="Times New Roman"/>
          <w:b/>
          <w:bCs/>
          <w:sz w:val="24"/>
          <w:szCs w:val="20"/>
        </w:rPr>
        <w:t>Section 7.  Test Methods and Reproducibility Limits</w:t>
      </w:r>
    </w:p>
    <w:p w14:paraId="27A435ED" w14:textId="77777777" w:rsidR="00FC537E" w:rsidRPr="00281428" w:rsidRDefault="00FC537E" w:rsidP="00FF4509">
      <w:pPr>
        <w:tabs>
          <w:tab w:val="left" w:pos="540"/>
        </w:tabs>
        <w:rPr>
          <w:rFonts w:eastAsia="Times New Roman"/>
          <w:b/>
          <w:bCs/>
          <w:szCs w:val="24"/>
        </w:rPr>
      </w:pPr>
      <w:r w:rsidRPr="00281428">
        <w:rPr>
          <w:rFonts w:eastAsia="Times New Roman"/>
          <w:b/>
          <w:bCs/>
          <w:szCs w:val="24"/>
        </w:rPr>
        <w:t>7.2.</w:t>
      </w:r>
      <w:r w:rsidRPr="00281428">
        <w:rPr>
          <w:rFonts w:eastAsia="Times New Roman"/>
          <w:b/>
          <w:bCs/>
          <w:szCs w:val="24"/>
        </w:rPr>
        <w:tab/>
        <w:t>Reproducibility Limits.</w:t>
      </w:r>
    </w:p>
    <w:p w14:paraId="61B596FE" w14:textId="77777777" w:rsidR="00FC537E" w:rsidRPr="00281428" w:rsidRDefault="00FC537E" w:rsidP="00FF4509">
      <w:pPr>
        <w:ind w:left="360"/>
        <w:rPr>
          <w:rFonts w:eastAsia="Times New Roman"/>
          <w:szCs w:val="24"/>
        </w:rPr>
      </w:pPr>
      <w:bookmarkStart w:id="132" w:name="_Toc529205568"/>
      <w:r w:rsidRPr="00281428">
        <w:rPr>
          <w:rFonts w:eastAsia="Times New Roman"/>
          <w:b/>
          <w:bCs/>
          <w:szCs w:val="24"/>
        </w:rPr>
        <w:t>7.2.1.  AKI Limits.</w:t>
      </w:r>
      <w:bookmarkEnd w:id="132"/>
      <w:r w:rsidRPr="00281428">
        <w:rPr>
          <w:rFonts w:eastAsia="Times New Roman"/>
          <w:szCs w:val="24"/>
        </w:rPr>
        <w:t xml:space="preserve"> </w:t>
      </w:r>
      <w:r w:rsidRPr="00281428">
        <w:rPr>
          <w:rFonts w:eastAsia="Times New Roman"/>
          <w:bCs/>
          <w:szCs w:val="24"/>
        </w:rPr>
        <w:t>–</w:t>
      </w:r>
      <w:r w:rsidRPr="00281428">
        <w:rPr>
          <w:rFonts w:eastAsia="Times New Roman"/>
          <w:szCs w:val="24"/>
        </w:rPr>
        <w:t xml:space="preserve"> When determining the antiknock index acceptance or rejection of a gasoline sample, the AKI reproducibility limits as outlined in the latest version of ASTM D4814, “Standard Specification for Automotive Spark-Ignition Engine Fuel,” Appendix X1 shall be acknowledged for enforcement purposes.</w:t>
      </w:r>
    </w:p>
    <w:p w14:paraId="0E6E7C92" w14:textId="77777777" w:rsidR="00FC537E" w:rsidRPr="00281428" w:rsidRDefault="00FC537E" w:rsidP="00FF4509">
      <w:pPr>
        <w:spacing w:after="0"/>
        <w:ind w:left="360"/>
        <w:rPr>
          <w:rFonts w:eastAsia="Times New Roman"/>
          <w:szCs w:val="24"/>
          <w:u w:val="single"/>
        </w:rPr>
      </w:pPr>
      <w:bookmarkStart w:id="133" w:name="_Toc529205569"/>
      <w:r w:rsidRPr="00281428">
        <w:rPr>
          <w:rFonts w:eastAsia="Times New Roman"/>
          <w:b/>
          <w:bCs/>
          <w:szCs w:val="24"/>
        </w:rPr>
        <w:t>7.2.2.  Reproducibility.</w:t>
      </w:r>
      <w:bookmarkEnd w:id="133"/>
      <w:r w:rsidRPr="00281428">
        <w:rPr>
          <w:rFonts w:eastAsia="Times New Roman"/>
          <w:szCs w:val="24"/>
        </w:rPr>
        <w:t xml:space="preserve"> </w:t>
      </w:r>
      <w:r w:rsidRPr="00281428">
        <w:rPr>
          <w:rFonts w:eastAsia="Times New Roman"/>
          <w:bCs/>
          <w:szCs w:val="24"/>
        </w:rPr>
        <w:t>–</w:t>
      </w:r>
      <w:r w:rsidRPr="00281428">
        <w:rPr>
          <w:rFonts w:eastAsia="Times New Roman"/>
          <w:szCs w:val="24"/>
        </w:rPr>
        <w:t xml:space="preserve"> The reproducibility limits of the standard test method used for each test performed shall be acknowledged for enforcement purposes, except as indicated in Section 2.2.1. Premium Diesel Fuel and Section 7.2.1. AKI Limits.  No allowance shall be made for the precision of the test methods for aviation gasoline or aviation turbine fuels.</w:t>
      </w:r>
    </w:p>
    <w:p w14:paraId="3FADAEE7" w14:textId="77777777" w:rsidR="00FC537E" w:rsidRPr="00281428" w:rsidRDefault="00FC537E" w:rsidP="00FF4509">
      <w:pPr>
        <w:spacing w:before="60"/>
        <w:ind w:left="360"/>
        <w:rPr>
          <w:rFonts w:eastAsia="Times New Roman"/>
          <w:szCs w:val="24"/>
        </w:rPr>
      </w:pPr>
      <w:r w:rsidRPr="00281428">
        <w:rPr>
          <w:rFonts w:eastAsia="Times New Roman"/>
          <w:szCs w:val="24"/>
        </w:rPr>
        <w:t>(Amended 2008)</w:t>
      </w:r>
    </w:p>
    <w:p w14:paraId="051BA0CC" w14:textId="77777777" w:rsidR="00FC537E" w:rsidRPr="00281428" w:rsidRDefault="00FC537E" w:rsidP="00FF4509">
      <w:pPr>
        <w:spacing w:after="0"/>
        <w:ind w:left="360"/>
        <w:rPr>
          <w:rFonts w:ascii="TimesNewRomanPSMT" w:eastAsia="Times New Roman" w:hAnsi="TimesNewRomanPSMT" w:cs="TimesNewRomanPSMT"/>
          <w:b/>
          <w:szCs w:val="20"/>
          <w:u w:val="single"/>
        </w:rPr>
      </w:pPr>
      <w:r w:rsidRPr="00281428">
        <w:rPr>
          <w:rFonts w:eastAsia="Times New Roman"/>
          <w:b/>
          <w:bCs/>
          <w:szCs w:val="24"/>
        </w:rPr>
        <w:t>7.2.3.  SAE Viscosity Grades for Engine Oils</w:t>
      </w:r>
      <w:r w:rsidRPr="00281428">
        <w:rPr>
          <w:rFonts w:eastAsia="Times New Roman"/>
          <w:bCs/>
          <w:szCs w:val="24"/>
        </w:rPr>
        <w:t>. –</w:t>
      </w:r>
      <w:r w:rsidRPr="00281428">
        <w:rPr>
          <w:rFonts w:eastAsia="Times New Roman"/>
          <w:szCs w:val="24"/>
        </w:rPr>
        <w:t xml:space="preserve"> </w:t>
      </w:r>
      <w:r w:rsidRPr="00281428">
        <w:rPr>
          <w:rFonts w:eastAsia="Times New Roman"/>
          <w:b/>
          <w:bCs/>
          <w:strike/>
          <w:szCs w:val="24"/>
        </w:rPr>
        <w:t xml:space="preserve">All values are critical specifications as defined in the latest version of ASTM D3244, “Standard Practice for Utilization of Test Data to Determine Conformance with Specifications.”  The product shall </w:t>
      </w:r>
      <w:proofErr w:type="gramStart"/>
      <w:r w:rsidRPr="00281428">
        <w:rPr>
          <w:rFonts w:eastAsia="Times New Roman"/>
          <w:b/>
          <w:bCs/>
          <w:strike/>
          <w:szCs w:val="24"/>
        </w:rPr>
        <w:t>be considered to be</w:t>
      </w:r>
      <w:proofErr w:type="gramEnd"/>
      <w:r w:rsidRPr="00281428">
        <w:rPr>
          <w:rFonts w:eastAsia="Times New Roman"/>
          <w:b/>
          <w:bCs/>
          <w:strike/>
          <w:szCs w:val="24"/>
        </w:rPr>
        <w:t xml:space="preserve"> in conformance if the Assigned Test Value (ATV) is within the specification.</w:t>
      </w:r>
      <w:r w:rsidRPr="00281428">
        <w:rPr>
          <w:rFonts w:eastAsia="Times New Roman"/>
          <w:b/>
          <w:bCs/>
          <w:szCs w:val="24"/>
        </w:rPr>
        <w:t xml:space="preserve">  </w:t>
      </w:r>
      <w:proofErr w:type="gramStart"/>
      <w:r w:rsidRPr="00281428">
        <w:rPr>
          <w:rFonts w:ascii="TimesNewRomanPSMT" w:eastAsia="Times New Roman" w:hAnsi="TimesNewRomanPSMT" w:cs="TimesNewRomanPSMT"/>
          <w:b/>
          <w:szCs w:val="20"/>
          <w:u w:val="single"/>
        </w:rPr>
        <w:t>With the exception of</w:t>
      </w:r>
      <w:proofErr w:type="gramEnd"/>
      <w:r w:rsidRPr="00281428">
        <w:rPr>
          <w:rFonts w:ascii="TimesNewRomanPSMT" w:eastAsia="Times New Roman" w:hAnsi="TimesNewRomanPSMT" w:cs="TimesNewRomanPSMT"/>
          <w:b/>
          <w:szCs w:val="20"/>
          <w:u w:val="single"/>
        </w:rPr>
        <w:t xml:space="preserve"> the low-temperature cranking viscosity, all values required to define SAE Viscosity Grades, as defined in the latest version of SAE J300, “Engine Oil Viscosity Classification”, are critical specifications as defined by the latest version of ASTM D3244, “Standard Practice for Utilization of Test Data to Determine Conformance with Specifications”.</w:t>
      </w:r>
    </w:p>
    <w:p w14:paraId="0FF47386" w14:textId="77777777" w:rsidR="00FC537E" w:rsidRPr="00281428" w:rsidRDefault="00FC537E" w:rsidP="00FF4509">
      <w:pPr>
        <w:spacing w:before="60"/>
        <w:ind w:left="360"/>
        <w:rPr>
          <w:rFonts w:eastAsia="Times New Roman"/>
          <w:b/>
          <w:szCs w:val="24"/>
          <w:u w:val="single"/>
        </w:rPr>
      </w:pPr>
      <w:r w:rsidRPr="00281428">
        <w:rPr>
          <w:rFonts w:eastAsia="Times New Roman"/>
          <w:szCs w:val="24"/>
        </w:rPr>
        <w:t>(Added 2008</w:t>
      </w:r>
      <w:r w:rsidRPr="00281428">
        <w:rPr>
          <w:rFonts w:eastAsia="Times New Roman"/>
          <w:b/>
          <w:szCs w:val="24"/>
          <w:u w:val="single"/>
        </w:rPr>
        <w:t>) (Amended 20XX)</w:t>
      </w:r>
    </w:p>
    <w:p w14:paraId="3000A51C" w14:textId="77777777" w:rsidR="00FC537E" w:rsidRPr="00281428" w:rsidRDefault="00FC537E" w:rsidP="00FF4509">
      <w:pPr>
        <w:ind w:left="360"/>
        <w:rPr>
          <w:rFonts w:eastAsia="Times New Roman"/>
          <w:bCs/>
          <w:szCs w:val="24"/>
        </w:rPr>
      </w:pPr>
      <w:bookmarkStart w:id="134" w:name="_Toc529205571"/>
      <w:r w:rsidRPr="00281428">
        <w:rPr>
          <w:rFonts w:eastAsia="Times New Roman"/>
          <w:b/>
          <w:bCs/>
          <w:szCs w:val="24"/>
        </w:rPr>
        <w:lastRenderedPageBreak/>
        <w:t>7.2.4.  Dispute Resolution.</w:t>
      </w:r>
      <w:bookmarkEnd w:id="134"/>
      <w:r w:rsidRPr="00281428">
        <w:rPr>
          <w:rFonts w:eastAsia="Times New Roman"/>
          <w:bCs/>
          <w:szCs w:val="24"/>
        </w:rPr>
        <w:t xml:space="preserve"> – In the event of a dispute over a reported test value, the guidelines presented in the latest version of ASTM D3244, “Standard Practice for Utilization of Test Data to Determine Conformance with Specifications,” shall be used to determine the acceptance or rejection of the sample.</w:t>
      </w:r>
    </w:p>
    <w:p w14:paraId="23CAFD50" w14:textId="77777777" w:rsidR="00FC537E" w:rsidRPr="00281428" w:rsidRDefault="00FC537E" w:rsidP="00FF4509">
      <w:pPr>
        <w:spacing w:after="0"/>
        <w:ind w:left="360"/>
        <w:rPr>
          <w:rFonts w:eastAsia="Times New Roman"/>
          <w:szCs w:val="24"/>
        </w:rPr>
      </w:pPr>
      <w:bookmarkStart w:id="135" w:name="_Toc529205572"/>
      <w:r w:rsidRPr="00281428">
        <w:rPr>
          <w:rFonts w:eastAsia="Times New Roman"/>
          <w:b/>
          <w:bCs/>
          <w:szCs w:val="24"/>
        </w:rPr>
        <w:t>7.2.5.  Additional Enforcement Action.</w:t>
      </w:r>
      <w:bookmarkEnd w:id="135"/>
      <w:r w:rsidRPr="00281428">
        <w:rPr>
          <w:rFonts w:eastAsia="Times New Roman"/>
          <w:szCs w:val="24"/>
        </w:rPr>
        <w:t xml:space="preserve"> – The Director may initiate enforcement action </w:t>
      </w:r>
      <w:proofErr w:type="gramStart"/>
      <w:r w:rsidRPr="00281428">
        <w:rPr>
          <w:rFonts w:eastAsia="Times New Roman"/>
          <w:szCs w:val="24"/>
        </w:rPr>
        <w:t>in the event that</w:t>
      </w:r>
      <w:proofErr w:type="gramEnd"/>
      <w:r w:rsidRPr="00281428">
        <w:rPr>
          <w:rFonts w:eastAsia="Times New Roman"/>
          <w:szCs w:val="24"/>
        </w:rPr>
        <w:t>, based upon a statistically significant number of samples, the average test result for products sampled from the same source location is greater than the legal maximum or less than the legal minimum limits (specification value), posted values, certified values, or registered values.</w:t>
      </w:r>
    </w:p>
    <w:p w14:paraId="3D64AD3F" w14:textId="77777777" w:rsidR="00FC537E" w:rsidRPr="00281428" w:rsidRDefault="00FC537E" w:rsidP="00FF4509">
      <w:pPr>
        <w:spacing w:before="60"/>
        <w:ind w:left="360"/>
        <w:rPr>
          <w:rFonts w:eastAsia="Times New Roman"/>
          <w:szCs w:val="24"/>
        </w:rPr>
      </w:pPr>
      <w:r w:rsidRPr="00281428">
        <w:rPr>
          <w:rFonts w:eastAsia="Times New Roman"/>
          <w:szCs w:val="24"/>
        </w:rPr>
        <w:t>(Added 2008) (Amended 2018)</w:t>
      </w:r>
    </w:p>
    <w:p w14:paraId="5A5712CA" w14:textId="77777777" w:rsidR="00FC537E" w:rsidRPr="00281428" w:rsidRDefault="00FC537E" w:rsidP="00FF4509">
      <w:pPr>
        <w:spacing w:after="0"/>
        <w:rPr>
          <w:b/>
        </w:rPr>
      </w:pPr>
      <w:bookmarkStart w:id="136" w:name="_Hlk61600842"/>
      <w:bookmarkEnd w:id="92"/>
      <w:bookmarkEnd w:id="116"/>
      <w:bookmarkEnd w:id="118"/>
      <w:r w:rsidRPr="00281428">
        <w:rPr>
          <w:b/>
        </w:rPr>
        <w:t>Background/Discussion:</w:t>
      </w:r>
    </w:p>
    <w:p w14:paraId="5978C578" w14:textId="1812A058" w:rsidR="00FC537E" w:rsidRPr="00281428" w:rsidRDefault="00FC537E" w:rsidP="00FF4509">
      <w:pPr>
        <w:rPr>
          <w:szCs w:val="20"/>
        </w:rPr>
      </w:pPr>
      <w:r w:rsidRPr="00281428">
        <w:rPr>
          <w:szCs w:val="20"/>
        </w:rPr>
        <w:t>Consumers are being misled and are not being adequately informed under existing Handbook 130 provisions about the performance of “obsolete” oils in the engines of their vehicles.  Many of these obsolete oils can damage modern engines.  The submitter recognizes that there may be as many as 14 million vehicles that can use pre-1988 motor oils.</w:t>
      </w:r>
    </w:p>
    <w:p w14:paraId="093C70A0" w14:textId="33518094" w:rsidR="00FC537E" w:rsidRPr="00281428" w:rsidRDefault="00FC537E" w:rsidP="00FF4509">
      <w:pPr>
        <w:rPr>
          <w:szCs w:val="20"/>
        </w:rPr>
      </w:pPr>
      <w:r w:rsidRPr="00D877B4">
        <w:rPr>
          <w:szCs w:val="20"/>
          <w:u w:val="single"/>
        </w:rPr>
        <w:t xml:space="preserve">NCWM </w:t>
      </w:r>
      <w:r w:rsidR="00557607">
        <w:rPr>
          <w:szCs w:val="20"/>
          <w:u w:val="single"/>
        </w:rPr>
        <w:t xml:space="preserve">2018 </w:t>
      </w:r>
      <w:r w:rsidRPr="00D877B4">
        <w:rPr>
          <w:szCs w:val="20"/>
          <w:u w:val="single"/>
        </w:rPr>
        <w:t>Interim Meeting</w:t>
      </w:r>
      <w:r w:rsidR="00A06034" w:rsidRPr="003D59F8">
        <w:rPr>
          <w:szCs w:val="20"/>
        </w:rPr>
        <w:t xml:space="preserve">:  </w:t>
      </w:r>
      <w:r w:rsidRPr="00281428">
        <w:rPr>
          <w:szCs w:val="20"/>
        </w:rPr>
        <w:t>Mr. Bill Striejewske (FALS Chair), indicated that FALS is recommending this as a Voting item.  In addition, support was heard from ILMA, API, and several regulators recommending this item as a Voting item.  However, many commenters stated that editorial and minor changes were still needed for the item to be fully developed.  Mr. Tim Elliot (</w:t>
      </w:r>
      <w:r w:rsidR="00E901C4">
        <w:rPr>
          <w:szCs w:val="20"/>
        </w:rPr>
        <w:t>WA</w:t>
      </w:r>
      <w:r w:rsidRPr="00281428">
        <w:rPr>
          <w:szCs w:val="20"/>
        </w:rPr>
        <w:t>) recommended that this item have streamlined language to use a generic warning statement.  Suggestions were also provided on the ultimate placement of the label.  Due to lack of consensus, potentially non-editorial changes, and lack of specific details on proposed changes, the L&amp;R Committee recommends this item be “Assigned” to FALS for further development to address the issues mentioned in this write-up.</w:t>
      </w:r>
    </w:p>
    <w:p w14:paraId="6EB97068" w14:textId="51AF90DF" w:rsidR="00FC537E" w:rsidRPr="00281428" w:rsidRDefault="00FC537E" w:rsidP="00FF4509">
      <w:pPr>
        <w:rPr>
          <w:szCs w:val="20"/>
        </w:rPr>
      </w:pPr>
      <w:r w:rsidRPr="00D877B4">
        <w:rPr>
          <w:szCs w:val="20"/>
          <w:u w:val="single"/>
        </w:rPr>
        <w:t xml:space="preserve">NCWM </w:t>
      </w:r>
      <w:r w:rsidR="00557607">
        <w:rPr>
          <w:szCs w:val="20"/>
          <w:u w:val="single"/>
        </w:rPr>
        <w:t xml:space="preserve">2018 </w:t>
      </w:r>
      <w:r w:rsidRPr="00D877B4">
        <w:rPr>
          <w:szCs w:val="20"/>
          <w:u w:val="single"/>
        </w:rPr>
        <w:t>Annual</w:t>
      </w:r>
      <w:r w:rsidR="00A06034" w:rsidRPr="00D877B4">
        <w:rPr>
          <w:szCs w:val="20"/>
          <w:u w:val="single"/>
        </w:rPr>
        <w:t xml:space="preserve"> Meeting:</w:t>
      </w:r>
      <w:r w:rsidR="00A06034">
        <w:rPr>
          <w:szCs w:val="20"/>
        </w:rPr>
        <w:t xml:space="preserve"> </w:t>
      </w:r>
      <w:r w:rsidRPr="00281428">
        <w:rPr>
          <w:szCs w:val="20"/>
        </w:rPr>
        <w:t xml:space="preserve"> Mr. Striejewske remarked that FALS received modified language from the submitter and FALS is recommending this item remain Assigned with the updated.</w:t>
      </w:r>
    </w:p>
    <w:p w14:paraId="5B1A2E28" w14:textId="22CFB0A8" w:rsidR="00FC537E" w:rsidRPr="00281428" w:rsidRDefault="00FC537E" w:rsidP="00FF4509">
      <w:r w:rsidRPr="00D877B4">
        <w:rPr>
          <w:u w:val="single"/>
        </w:rPr>
        <w:t xml:space="preserve">NCWM </w:t>
      </w:r>
      <w:r w:rsidR="00557607">
        <w:rPr>
          <w:u w:val="single"/>
        </w:rPr>
        <w:t xml:space="preserve">2019 </w:t>
      </w:r>
      <w:r w:rsidRPr="00D877B4">
        <w:rPr>
          <w:u w:val="single"/>
        </w:rPr>
        <w:t>Interim Meeting</w:t>
      </w:r>
      <w:r w:rsidR="00A06034" w:rsidRPr="00D877B4">
        <w:rPr>
          <w:u w:val="single"/>
        </w:rPr>
        <w:t>:</w:t>
      </w:r>
      <w:r w:rsidR="00A06034">
        <w:t xml:space="preserve">  C</w:t>
      </w:r>
      <w:r w:rsidRPr="00281428">
        <w:t xml:space="preserve">omments were heard from members of FALS stating that the level of discussion desired was not had regarding this item due to the absence of the submitter at the FALS meeting that was held Sunday, January 13, 2019.  There were several comments regarding the term “modern” not being defined in the cautionary statements.  Several stakeholders and regulators feel these items need further review and clarification.  A Kansas regulator stated that the caution statement is incorrect and should be modified because it is oil being sold, not an engine.  After </w:t>
      </w:r>
      <w:r w:rsidR="00F26F8F" w:rsidRPr="00281428">
        <w:t>consideration,</w:t>
      </w:r>
      <w:r w:rsidRPr="00281428">
        <w:t xml:space="preserve"> the </w:t>
      </w:r>
      <w:r w:rsidR="00F26F8F">
        <w:t>C</w:t>
      </w:r>
      <w:r w:rsidRPr="00281428">
        <w:t>ommittee recommends this item remain Assigned to FALS.</w:t>
      </w:r>
    </w:p>
    <w:p w14:paraId="16698F6C" w14:textId="4651CF7E" w:rsidR="00FC537E" w:rsidRPr="00281428" w:rsidRDefault="00FC537E" w:rsidP="00FF4509">
      <w:r w:rsidRPr="00D877B4">
        <w:rPr>
          <w:u w:val="single"/>
        </w:rPr>
        <w:t xml:space="preserve">NCWM </w:t>
      </w:r>
      <w:r w:rsidR="00557607">
        <w:rPr>
          <w:u w:val="single"/>
        </w:rPr>
        <w:t xml:space="preserve">2019 </w:t>
      </w:r>
      <w:r w:rsidRPr="00D877B4">
        <w:rPr>
          <w:u w:val="single"/>
        </w:rPr>
        <w:t>Annual Meeting</w:t>
      </w:r>
      <w:r w:rsidR="00A06034" w:rsidRPr="00D877B4">
        <w:rPr>
          <w:u w:val="single"/>
        </w:rPr>
        <w:t>:</w:t>
      </w:r>
      <w:r w:rsidR="00A06034">
        <w:t xml:space="preserve"> </w:t>
      </w:r>
      <w:r w:rsidRPr="00281428">
        <w:t xml:space="preserve"> Mr. Striejewske (FALS Chair) commented that the submitter has a revision (May 10, 2019) under the L&amp;R supporting documents.   This is the language that the Committee has moved forward for consideration.</w:t>
      </w:r>
    </w:p>
    <w:p w14:paraId="788C42EE" w14:textId="21EC0ADC" w:rsidR="00FC537E" w:rsidRPr="00281428" w:rsidRDefault="00FC537E" w:rsidP="00FF4509">
      <w:r w:rsidRPr="00D877B4">
        <w:rPr>
          <w:u w:val="single"/>
        </w:rPr>
        <w:t xml:space="preserve">NCWM </w:t>
      </w:r>
      <w:r w:rsidR="003D59F8">
        <w:rPr>
          <w:u w:val="single"/>
        </w:rPr>
        <w:t xml:space="preserve">2020 </w:t>
      </w:r>
      <w:r w:rsidRPr="00D877B4">
        <w:rPr>
          <w:u w:val="single"/>
        </w:rPr>
        <w:t>Interim Meeting</w:t>
      </w:r>
      <w:r w:rsidR="00A06034" w:rsidRPr="00D877B4">
        <w:rPr>
          <w:u w:val="single"/>
        </w:rPr>
        <w:t>:</w:t>
      </w:r>
      <w:r w:rsidR="00A06034">
        <w:t xml:space="preserve">  Prior to the meeting,</w:t>
      </w:r>
      <w:r w:rsidRPr="00281428">
        <w:t xml:space="preserve"> the submitter provided an updated proposal dated January 18, 2020.</w:t>
      </w:r>
      <w:r w:rsidR="001320E4" w:rsidRPr="00281428">
        <w:t xml:space="preserve">  </w:t>
      </w:r>
      <w:r w:rsidRPr="00281428">
        <w:t>During the open hearings, several members voiced their support for the block as amended by FALS and for it to move forward as a Voting Item:  Mr. Kevin Schnepp (</w:t>
      </w:r>
      <w:r w:rsidR="007B021C">
        <w:t>CA</w:t>
      </w:r>
      <w:r w:rsidRPr="00281428">
        <w:t>), Mr. Jeff Harmening (API), Ms. Joanna Johnson (AOCA), Mr. Kurt Floren (Los Angeles Co</w:t>
      </w:r>
      <w:r w:rsidR="007B021C">
        <w:t>.</w:t>
      </w:r>
      <w:r w:rsidRPr="00281428">
        <w:t xml:space="preserve">, </w:t>
      </w:r>
      <w:r w:rsidR="007B021C">
        <w:t>CA</w:t>
      </w:r>
      <w:r w:rsidRPr="00281428">
        <w:t xml:space="preserve">).  Mr. Matthew Levetown (ILMA, representing submitter) supported the changes made by FALS but with two </w:t>
      </w:r>
      <w:proofErr w:type="gramStart"/>
      <w:r w:rsidRPr="00281428">
        <w:t>edits;</w:t>
      </w:r>
      <w:proofErr w:type="gramEnd"/>
      <w:r w:rsidRPr="00281428">
        <w:t xml:space="preserve"> “Automotive motor oil” not “Automotive lubricants” and the inclusion of a comma after “as applicable to purchaser”.</w:t>
      </w:r>
    </w:p>
    <w:p w14:paraId="37F09E4C" w14:textId="32D09F3A" w:rsidR="00FC537E" w:rsidRPr="00281428" w:rsidRDefault="00FC537E" w:rsidP="00FC537E">
      <w:pPr>
        <w:rPr>
          <w:bCs/>
        </w:rPr>
      </w:pPr>
      <w:r w:rsidRPr="00281428">
        <w:t xml:space="preserve">There was concern from a member that NCWM Publication 15 did not provide the latest language for this Block and that modifications are being sent in at the last minute.  This has occurred for several items and this situation needs to be addressed.  One solution maybe for the submitter to provide printed copies. </w:t>
      </w:r>
      <w:r w:rsidR="001320E4" w:rsidRPr="00281428">
        <w:t xml:space="preserve"> </w:t>
      </w:r>
      <w:r w:rsidRPr="00281428">
        <w:t>Ms.  Lisa Warfield (NIST</w:t>
      </w:r>
      <w:r w:rsidR="00D20E2E">
        <w:t xml:space="preserve"> OWM</w:t>
      </w:r>
      <w:r w:rsidRPr="00281428">
        <w:t xml:space="preserve">) stated she understands the frustration, but </w:t>
      </w:r>
      <w:r w:rsidRPr="00281428">
        <w:rPr>
          <w:bCs/>
        </w:rPr>
        <w:t>updated proposals can all be found on the NCWM website listed as supporting documents.</w:t>
      </w:r>
    </w:p>
    <w:p w14:paraId="24F58A93" w14:textId="45EB82A5" w:rsidR="00FC537E" w:rsidRPr="00281428" w:rsidRDefault="00FC537E" w:rsidP="00FC537E">
      <w:r w:rsidRPr="00281428">
        <w:t>The Committee moved this item forward as a Voting item with minor editorial changes.</w:t>
      </w:r>
    </w:p>
    <w:p w14:paraId="6E516BC7" w14:textId="0949C11F" w:rsidR="00EB28B3" w:rsidRDefault="009D33D0" w:rsidP="00FC537E">
      <w:r w:rsidRPr="00D877B4">
        <w:rPr>
          <w:u w:val="single"/>
        </w:rPr>
        <w:t xml:space="preserve">NCWM </w:t>
      </w:r>
      <w:r w:rsidR="00557607">
        <w:rPr>
          <w:u w:val="single"/>
        </w:rPr>
        <w:t>2020</w:t>
      </w:r>
      <w:r w:rsidR="003D59F8">
        <w:rPr>
          <w:u w:val="single"/>
        </w:rPr>
        <w:t xml:space="preserve"> </w:t>
      </w:r>
      <w:r w:rsidRPr="00D877B4">
        <w:rPr>
          <w:u w:val="single"/>
        </w:rPr>
        <w:t xml:space="preserve">Annual </w:t>
      </w:r>
      <w:r w:rsidR="001410C0" w:rsidRPr="00D877B4">
        <w:rPr>
          <w:u w:val="single"/>
        </w:rPr>
        <w:t>M</w:t>
      </w:r>
      <w:r w:rsidRPr="00D877B4">
        <w:rPr>
          <w:u w:val="single"/>
        </w:rPr>
        <w:t>eeting</w:t>
      </w:r>
      <w:r w:rsidR="00D877B4" w:rsidRPr="00D877B4">
        <w:rPr>
          <w:u w:val="single"/>
        </w:rPr>
        <w:t>:</w:t>
      </w:r>
      <w:r w:rsidR="00D877B4">
        <w:t xml:space="preserve">  T</w:t>
      </w:r>
      <w:r w:rsidRPr="00281428">
        <w:t xml:space="preserve">his </w:t>
      </w:r>
      <w:r w:rsidR="001410C0" w:rsidRPr="00281428">
        <w:t xml:space="preserve">Item Block had included </w:t>
      </w:r>
      <w:r w:rsidRPr="00281428">
        <w:t xml:space="preserve">Item FLL-18.1.  The </w:t>
      </w:r>
      <w:r w:rsidR="001410C0" w:rsidRPr="00281428">
        <w:t>Committee separated out FLL-18.1 from the block and moved that Item to a Vote.  The Committee heard suggested revisions to MOS-18.1 and FLR-18.1.  Changes to modify these two items are presented in API Revision (Concept 1</w:t>
      </w:r>
      <w:r w:rsidR="00EB28B3" w:rsidRPr="00281428">
        <w:t xml:space="preserve">- Revisions to MOS 18-1, Section </w:t>
      </w:r>
      <w:r w:rsidR="00EB28B3" w:rsidRPr="00281428">
        <w:lastRenderedPageBreak/>
        <w:t>2.33.1.3.2. Inactive and Obsolete Service Categories and FLR-18.1., Section 3.13.1.3.2. Inactive or Obsolete Service Categories</w:t>
      </w:r>
      <w:r w:rsidR="001410C0" w:rsidRPr="00281428">
        <w:t xml:space="preserve">).  </w:t>
      </w:r>
    </w:p>
    <w:p w14:paraId="382BFC23" w14:textId="5BE1038F" w:rsidR="00D877B4" w:rsidRDefault="00D877B4" w:rsidP="00FC537E">
      <w:r>
        <w:t>The Committee lowered the status of the item and returned it to the Committee for further discussion at the 2021 Interim Meeting.</w:t>
      </w:r>
    </w:p>
    <w:p w14:paraId="6252599E" w14:textId="7D337AE1" w:rsidR="00554191" w:rsidRPr="00554191" w:rsidRDefault="00554191" w:rsidP="00FC537E">
      <w:r w:rsidRPr="00554191">
        <w:rPr>
          <w:u w:val="single"/>
        </w:rPr>
        <w:t xml:space="preserve">NCWM </w:t>
      </w:r>
      <w:r w:rsidR="00557607">
        <w:rPr>
          <w:u w:val="single"/>
        </w:rPr>
        <w:t xml:space="preserve">2020 </w:t>
      </w:r>
      <w:r w:rsidRPr="00554191">
        <w:rPr>
          <w:u w:val="single"/>
        </w:rPr>
        <w:t>Annual Meeting</w:t>
      </w:r>
      <w:r w:rsidRPr="00554191">
        <w:t>: Due to the 2020 Covid-19 pandemic, this meeting was adjourned to January 2021, at which time it was held as a virtual meeting.  Due to constraint of time, only those items designated as 2020 Voting Items were addressed.  All other items were addressed in the subsequent 2021 NCWM Interim Meeting.</w:t>
      </w:r>
    </w:p>
    <w:p w14:paraId="27E528D7" w14:textId="4BE88604" w:rsidR="00584C79" w:rsidRPr="00281428" w:rsidRDefault="005B4BE9" w:rsidP="00FC537E">
      <w:r w:rsidRPr="00D877B4">
        <w:rPr>
          <w:u w:val="single"/>
        </w:rPr>
        <w:t xml:space="preserve">NCWM </w:t>
      </w:r>
      <w:r w:rsidR="00557607">
        <w:rPr>
          <w:u w:val="single"/>
        </w:rPr>
        <w:t xml:space="preserve">2021 </w:t>
      </w:r>
      <w:r w:rsidRPr="00D877B4">
        <w:rPr>
          <w:u w:val="single"/>
        </w:rPr>
        <w:t>Interim Meeting</w:t>
      </w:r>
      <w:r w:rsidR="00D877B4" w:rsidRPr="00D877B4">
        <w:rPr>
          <w:u w:val="single"/>
        </w:rPr>
        <w:t>:</w:t>
      </w:r>
      <w:r w:rsidRPr="00281428">
        <w:t xml:space="preserve">  </w:t>
      </w:r>
      <w:r w:rsidR="001410C0" w:rsidRPr="00281428">
        <w:t xml:space="preserve">After hearing comments in support of the API revision, the Committee made the decision to change the Item </w:t>
      </w:r>
      <w:r w:rsidR="00AE5790">
        <w:t>U</w:t>
      </w:r>
      <w:r w:rsidR="001410C0" w:rsidRPr="00281428">
        <w:t xml:space="preserve">nder Consideration to incorporate the API recommendations.  </w:t>
      </w:r>
      <w:r w:rsidR="00584C79" w:rsidRPr="00281428">
        <w:rPr>
          <w:szCs w:val="20"/>
        </w:rPr>
        <w:t xml:space="preserve">The </w:t>
      </w:r>
      <w:r w:rsidR="00FD3E8C" w:rsidRPr="00281428">
        <w:rPr>
          <w:szCs w:val="20"/>
        </w:rPr>
        <w:t>C</w:t>
      </w:r>
      <w:r w:rsidR="00584C79" w:rsidRPr="00281428">
        <w:rPr>
          <w:szCs w:val="20"/>
        </w:rPr>
        <w:t>ommittee heard from Several State regulators Mr. Stutesman (</w:t>
      </w:r>
      <w:r w:rsidR="00AE5790">
        <w:rPr>
          <w:szCs w:val="20"/>
        </w:rPr>
        <w:t>KS</w:t>
      </w:r>
      <w:r w:rsidR="00584C79" w:rsidRPr="00281428">
        <w:rPr>
          <w:szCs w:val="20"/>
        </w:rPr>
        <w:t xml:space="preserve">), Mr. </w:t>
      </w:r>
      <w:r w:rsidR="00FD3E8C" w:rsidRPr="00281428">
        <w:rPr>
          <w:szCs w:val="20"/>
        </w:rPr>
        <w:t xml:space="preserve">Kevin </w:t>
      </w:r>
      <w:r w:rsidR="00584C79" w:rsidRPr="00281428">
        <w:rPr>
          <w:szCs w:val="20"/>
        </w:rPr>
        <w:t>Schnepp</w:t>
      </w:r>
      <w:r w:rsidR="00FD3E8C" w:rsidRPr="00281428">
        <w:rPr>
          <w:szCs w:val="20"/>
        </w:rPr>
        <w:t xml:space="preserve"> (</w:t>
      </w:r>
      <w:r w:rsidR="00AE5790">
        <w:rPr>
          <w:szCs w:val="20"/>
        </w:rPr>
        <w:t>CA</w:t>
      </w:r>
      <w:r w:rsidR="00FD3E8C" w:rsidRPr="00281428">
        <w:rPr>
          <w:szCs w:val="20"/>
        </w:rPr>
        <w:t>)</w:t>
      </w:r>
      <w:r w:rsidR="00584C79" w:rsidRPr="00281428">
        <w:rPr>
          <w:szCs w:val="20"/>
        </w:rPr>
        <w:t xml:space="preserve">, Mr. </w:t>
      </w:r>
      <w:r w:rsidR="00FD3E8C" w:rsidRPr="00281428">
        <w:rPr>
          <w:szCs w:val="20"/>
        </w:rPr>
        <w:t xml:space="preserve">Steven </w:t>
      </w:r>
      <w:r w:rsidR="00584C79" w:rsidRPr="00281428">
        <w:rPr>
          <w:szCs w:val="20"/>
        </w:rPr>
        <w:t>Harrington (</w:t>
      </w:r>
      <w:r w:rsidR="00AE5790">
        <w:rPr>
          <w:szCs w:val="20"/>
        </w:rPr>
        <w:t>OR</w:t>
      </w:r>
      <w:r w:rsidR="00584C79" w:rsidRPr="00281428">
        <w:rPr>
          <w:szCs w:val="20"/>
        </w:rPr>
        <w:t xml:space="preserve">), Mr. </w:t>
      </w:r>
      <w:r w:rsidR="00FD3E8C" w:rsidRPr="00281428">
        <w:rPr>
          <w:szCs w:val="20"/>
        </w:rPr>
        <w:t xml:space="preserve">Doug </w:t>
      </w:r>
      <w:r w:rsidR="00584C79" w:rsidRPr="00281428">
        <w:rPr>
          <w:szCs w:val="20"/>
        </w:rPr>
        <w:t>Rathbun (</w:t>
      </w:r>
      <w:r w:rsidR="00AE5790">
        <w:rPr>
          <w:szCs w:val="20"/>
        </w:rPr>
        <w:t>IL</w:t>
      </w:r>
      <w:r w:rsidR="00584C79" w:rsidRPr="00281428">
        <w:rPr>
          <w:szCs w:val="20"/>
        </w:rPr>
        <w:t xml:space="preserve">), Mr. </w:t>
      </w:r>
      <w:r w:rsidR="00FD3E8C" w:rsidRPr="00281428">
        <w:rPr>
          <w:szCs w:val="20"/>
        </w:rPr>
        <w:t xml:space="preserve">Jim </w:t>
      </w:r>
      <w:r w:rsidR="00584C79" w:rsidRPr="00281428">
        <w:rPr>
          <w:szCs w:val="20"/>
        </w:rPr>
        <w:t>Willis</w:t>
      </w:r>
      <w:r w:rsidR="00FD3E8C" w:rsidRPr="00281428">
        <w:rPr>
          <w:szCs w:val="20"/>
        </w:rPr>
        <w:t xml:space="preserve"> </w:t>
      </w:r>
      <w:r w:rsidR="00584C79" w:rsidRPr="00281428">
        <w:rPr>
          <w:szCs w:val="20"/>
        </w:rPr>
        <w:t>(</w:t>
      </w:r>
      <w:r w:rsidR="00AE5790">
        <w:rPr>
          <w:szCs w:val="20"/>
        </w:rPr>
        <w:t>NY</w:t>
      </w:r>
      <w:r w:rsidR="00584C79" w:rsidRPr="00281428">
        <w:rPr>
          <w:szCs w:val="20"/>
        </w:rPr>
        <w:t xml:space="preserve">), and industry representatives Mr. </w:t>
      </w:r>
      <w:r w:rsidR="00FD3E8C" w:rsidRPr="00281428">
        <w:rPr>
          <w:szCs w:val="20"/>
        </w:rPr>
        <w:t xml:space="preserve">Jeffrey </w:t>
      </w:r>
      <w:r w:rsidR="00584C79" w:rsidRPr="00281428">
        <w:rPr>
          <w:szCs w:val="20"/>
        </w:rPr>
        <w:t>Leiter (ILMA)</w:t>
      </w:r>
      <w:r w:rsidR="00C97E91">
        <w:rPr>
          <w:szCs w:val="20"/>
        </w:rPr>
        <w:t xml:space="preserve"> and </w:t>
      </w:r>
      <w:r w:rsidR="00584C79" w:rsidRPr="00281428">
        <w:rPr>
          <w:szCs w:val="20"/>
        </w:rPr>
        <w:t xml:space="preserve">Mr. </w:t>
      </w:r>
      <w:r w:rsidR="00FD3E8C" w:rsidRPr="00281428">
        <w:rPr>
          <w:szCs w:val="20"/>
        </w:rPr>
        <w:t xml:space="preserve">Jeffrey </w:t>
      </w:r>
      <w:r w:rsidR="00584C79" w:rsidRPr="00281428">
        <w:rPr>
          <w:szCs w:val="20"/>
        </w:rPr>
        <w:t>Harmening (API).  The testimony supported the item, but there was concern by most who testified that the new language had not been properly v</w:t>
      </w:r>
      <w:r w:rsidR="004E3706" w:rsidRPr="00281428">
        <w:rPr>
          <w:szCs w:val="20"/>
        </w:rPr>
        <w:t>et</w:t>
      </w:r>
      <w:r w:rsidR="00584C79" w:rsidRPr="00281428">
        <w:rPr>
          <w:szCs w:val="20"/>
        </w:rPr>
        <w:t xml:space="preserve">ted by all the regions and more time is needed for vetting before voting. </w:t>
      </w:r>
      <w:r w:rsidR="00CD3375" w:rsidRPr="00281428">
        <w:rPr>
          <w:szCs w:val="20"/>
        </w:rPr>
        <w:t xml:space="preserve">  The Committee modified the language using the API revision and recommended this as a Voting item.</w:t>
      </w:r>
    </w:p>
    <w:p w14:paraId="7BE0A594" w14:textId="215D034D" w:rsidR="005B4BE9" w:rsidRPr="00281428" w:rsidRDefault="005B4BE9" w:rsidP="00FC537E">
      <w:r w:rsidRPr="00281428">
        <w:t>The API (Concept 1) appears in the Item Under Consideration.   The two Sections that were modified had appeared on the Interim Agenda as:</w:t>
      </w:r>
    </w:p>
    <w:p w14:paraId="2B90D3E4" w14:textId="281464FF" w:rsidR="005B4BE9" w:rsidRPr="00281428" w:rsidRDefault="005B4BE9" w:rsidP="002F0196">
      <w:pPr>
        <w:spacing w:after="60"/>
        <w:rPr>
          <w:bCs/>
        </w:rPr>
      </w:pPr>
      <w:bookmarkStart w:id="137" w:name="_Hlk63081449"/>
      <w:r w:rsidRPr="00281428">
        <w:rPr>
          <w:bCs/>
        </w:rPr>
        <w:t>B3: MOS-18.1</w:t>
      </w:r>
    </w:p>
    <w:bookmarkEnd w:id="137"/>
    <w:p w14:paraId="24A6A998" w14:textId="343A0D10" w:rsidR="00EB28B3" w:rsidRPr="00281428" w:rsidRDefault="00EB28B3" w:rsidP="002F0196">
      <w:pPr>
        <w:spacing w:after="60"/>
        <w:ind w:left="360"/>
        <w:rPr>
          <w:b/>
          <w:u w:val="single"/>
        </w:rPr>
      </w:pPr>
      <w:r w:rsidRPr="00281428">
        <w:rPr>
          <w:b/>
        </w:rPr>
        <w:t>2.33.1.3.2.  Inactive or Obsolete Service Categories. –</w:t>
      </w:r>
      <w:r w:rsidRPr="00281428">
        <w:rPr>
          <w:b/>
          <w:strike/>
        </w:rPr>
        <w:t>The label on any vehicle engine (motor) oil container, receptacle, dispenser, or storage tank and the invoice or receipt from service on an engine that includes the installation of bulk vehicle engine (motor) oil dispensed from a receptacle, dispenser, or storage tank shall bear a plainly visible cautionary statement in compliance with the latest version of SAE J183, Appendix A,</w:t>
      </w:r>
      <w:r w:rsidRPr="00281428">
        <w:t xml:space="preserve"> </w:t>
      </w:r>
      <w:r w:rsidRPr="00281428">
        <w:rPr>
          <w:b/>
          <w:u w:val="single"/>
        </w:rPr>
        <w:t>W</w:t>
      </w:r>
      <w:r w:rsidRPr="00281428">
        <w:t xml:space="preserve">henever </w:t>
      </w:r>
      <w:r w:rsidRPr="00281428">
        <w:rPr>
          <w:b/>
          <w:strike/>
        </w:rPr>
        <w:t>the</w:t>
      </w:r>
      <w:r w:rsidRPr="00281428">
        <w:t xml:space="preserve"> </w:t>
      </w:r>
      <w:r w:rsidRPr="00281428">
        <w:rPr>
          <w:b/>
          <w:u w:val="single"/>
        </w:rPr>
        <w:t>any</w:t>
      </w:r>
      <w:r w:rsidRPr="00281428">
        <w:t xml:space="preserve"> vehicle engine (motor) oil in </w:t>
      </w:r>
      <w:r w:rsidRPr="00281428">
        <w:rPr>
          <w:b/>
          <w:strike/>
        </w:rPr>
        <w:t>the</w:t>
      </w:r>
      <w:r w:rsidRPr="00281428">
        <w:t xml:space="preserve"> </w:t>
      </w:r>
      <w:r w:rsidRPr="00281428">
        <w:rPr>
          <w:b/>
          <w:u w:val="single"/>
        </w:rPr>
        <w:t>a</w:t>
      </w:r>
      <w:r w:rsidRPr="00281428">
        <w:t xml:space="preserve"> container</w:t>
      </w:r>
      <w:r w:rsidRPr="00281428">
        <w:rPr>
          <w:b/>
          <w:u w:val="single"/>
        </w:rPr>
        <w:t xml:space="preserve">, receptacle, dispenser, storage tank, </w:t>
      </w:r>
      <w:r w:rsidRPr="00281428">
        <w:t>or in bulk does not meet an active API service category as defined by the latest version of SAE J183, “Engine Oil Performance and Engine Service Classification (Other than “Energy Conserving”)</w:t>
      </w:r>
      <w:r w:rsidRPr="00281428">
        <w:rPr>
          <w:b/>
          <w:strike/>
        </w:rPr>
        <w:t>.</w:t>
      </w:r>
      <w:r w:rsidRPr="00281428">
        <w:rPr>
          <w:b/>
          <w:u w:val="single"/>
        </w:rPr>
        <w:t>.</w:t>
      </w:r>
      <w:r w:rsidRPr="00281428">
        <w:t xml:space="preserve">” </w:t>
      </w:r>
      <w:r w:rsidRPr="00281428">
        <w:rPr>
          <w:b/>
          <w:u w:val="single"/>
        </w:rPr>
        <w:t>the front or forward facing-label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b/>
          <w:u w:val="single"/>
        </w:rPr>
        <w:t xml:space="preserve"> </w:t>
      </w:r>
      <w:r w:rsidRPr="00281428">
        <w:rPr>
          <w:b/>
          <w:u w:val="single"/>
        </w:rPr>
        <w:t xml:space="preserve">visible, cautionary statement set forth in the latest version of SAE J183, Appendix A.  </w:t>
      </w:r>
      <w:r w:rsidRPr="00281428">
        <w:rPr>
          <w:rFonts w:eastAsiaTheme="minorHAnsi"/>
          <w:b/>
          <w:color w:val="000000" w:themeColor="text1"/>
          <w:szCs w:val="20"/>
          <w:u w:val="single"/>
          <w:lang w:val="en-CA"/>
        </w:rPr>
        <w:t xml:space="preserve">Whenever any vehicle engine (motor) oil is declared obsolete by a vehicle or engine manufacturer, the front or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w:t>
      </w:r>
      <w:proofErr w:type="gramStart"/>
      <w:r w:rsidRPr="00281428">
        <w:rPr>
          <w:rFonts w:eastAsiaTheme="minorHAnsi"/>
          <w:b/>
          <w:color w:val="000000" w:themeColor="text1"/>
          <w:szCs w:val="20"/>
          <w:u w:val="single"/>
          <w:lang w:val="en-CA"/>
        </w:rPr>
        <w:t>plainly-visible</w:t>
      </w:r>
      <w:proofErr w:type="gramEnd"/>
      <w:r w:rsidRPr="00281428">
        <w:rPr>
          <w:rFonts w:eastAsiaTheme="minorHAnsi"/>
          <w:b/>
          <w:color w:val="000000" w:themeColor="text1"/>
          <w:szCs w:val="20"/>
          <w:u w:val="single"/>
          <w:lang w:val="en-CA"/>
        </w:rPr>
        <w:t>, cautionary statement required by the vehicle or engine manufacturer.</w:t>
      </w:r>
      <w:r w:rsidRPr="00281428">
        <w:t xml:space="preserve"> </w:t>
      </w:r>
      <w:r w:rsidRPr="00281428">
        <w:rPr>
          <w:b/>
          <w:strike/>
        </w:rPr>
        <w:t>If a vehicle engine (motor) oil is identified as only meeting a vehicle or engine manufacturer standard, the labeling requirements in Section 2.33.1.3.1. Vehicle or Engine Manufacturer Standard applies.</w:t>
      </w:r>
    </w:p>
    <w:p w14:paraId="28C4FE44" w14:textId="77777777" w:rsidR="00EB28B3" w:rsidRPr="00281428" w:rsidRDefault="00EB28B3" w:rsidP="002F0196">
      <w:pPr>
        <w:ind w:left="360"/>
      </w:pPr>
      <w:r w:rsidRPr="00281428">
        <w:t xml:space="preserve">(Amended 2014 </w:t>
      </w:r>
      <w:r w:rsidRPr="00281428">
        <w:rPr>
          <w:b/>
          <w:u w:val="single"/>
        </w:rPr>
        <w:t>and 20XX</w:t>
      </w:r>
      <w:r w:rsidRPr="00281428">
        <w:t>)</w:t>
      </w:r>
    </w:p>
    <w:p w14:paraId="68B128C5" w14:textId="5431E758" w:rsidR="005B4BE9" w:rsidRPr="00281428" w:rsidRDefault="005B4BE9" w:rsidP="005B4BE9">
      <w:pPr>
        <w:spacing w:after="60"/>
        <w:rPr>
          <w:bCs/>
        </w:rPr>
      </w:pPr>
      <w:r w:rsidRPr="00281428">
        <w:rPr>
          <w:bCs/>
        </w:rPr>
        <w:t>B3: MOS-18.1 appeared in the 2021 Interim Agenda as:</w:t>
      </w:r>
    </w:p>
    <w:p w14:paraId="0E487262" w14:textId="77777777" w:rsidR="005B4BE9" w:rsidRPr="00281428" w:rsidRDefault="005B4BE9" w:rsidP="002F0196">
      <w:pPr>
        <w:spacing w:after="0"/>
        <w:rPr>
          <w:rFonts w:eastAsia="Times New Roman"/>
          <w:b/>
          <w:szCs w:val="24"/>
        </w:rPr>
      </w:pPr>
    </w:p>
    <w:p w14:paraId="392C5028" w14:textId="408120A2" w:rsidR="005B4BE9" w:rsidRPr="00281428" w:rsidRDefault="005B4BE9" w:rsidP="002F0196">
      <w:pPr>
        <w:spacing w:after="0"/>
        <w:ind w:left="360"/>
        <w:rPr>
          <w:rFonts w:eastAsia="Times New Roman"/>
          <w:szCs w:val="24"/>
        </w:rPr>
      </w:pPr>
      <w:r w:rsidRPr="00281428">
        <w:rPr>
          <w:rFonts w:eastAsia="Times New Roman"/>
          <w:b/>
          <w:szCs w:val="24"/>
        </w:rPr>
        <w:t>3.13.1.3.2. Inactive or Obsolete Service Categories. –</w:t>
      </w:r>
      <w:r w:rsidRPr="00281428">
        <w:rPr>
          <w:rFonts w:eastAsia="Times New Roman"/>
          <w:b/>
          <w:strike/>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the latest version of SAE J183, “Engine Oil Performance and Engine Service Classification (Other than “Energy Conserving”)” Appendix A,</w:t>
      </w:r>
      <w:r w:rsidRPr="00281428">
        <w:rPr>
          <w:rFonts w:eastAsia="Times New Roman"/>
          <w:szCs w:val="24"/>
        </w:rPr>
        <w:t xml:space="preserve"> </w:t>
      </w:r>
      <w:r w:rsidRPr="00281428">
        <w:rPr>
          <w:rFonts w:eastAsia="Times New Roman"/>
          <w:b/>
          <w:szCs w:val="24"/>
          <w:u w:val="single"/>
        </w:rPr>
        <w:t>W</w:t>
      </w:r>
      <w:r w:rsidRPr="00281428">
        <w:rPr>
          <w:rFonts w:eastAsia="Times New Roman"/>
          <w:szCs w:val="24"/>
        </w:rPr>
        <w:t xml:space="preserve">henever </w:t>
      </w:r>
      <w:r w:rsidRPr="00281428">
        <w:rPr>
          <w:rFonts w:eastAsia="Times New Roman"/>
          <w:b/>
          <w:strike/>
          <w:szCs w:val="24"/>
        </w:rPr>
        <w:t>the</w:t>
      </w:r>
      <w:r w:rsidRPr="00281428">
        <w:rPr>
          <w:rFonts w:eastAsia="Times New Roman"/>
          <w:szCs w:val="24"/>
        </w:rPr>
        <w:t xml:space="preserve"> </w:t>
      </w:r>
      <w:r w:rsidRPr="00281428">
        <w:rPr>
          <w:rFonts w:eastAsia="Times New Roman"/>
          <w:b/>
          <w:szCs w:val="24"/>
          <w:u w:val="single"/>
        </w:rPr>
        <w:t xml:space="preserve">any </w:t>
      </w:r>
      <w:r w:rsidRPr="00281428">
        <w:rPr>
          <w:rFonts w:eastAsia="Times New Roman"/>
          <w:szCs w:val="24"/>
        </w:rPr>
        <w:t xml:space="preserve">vehicle engine (motor) oil in </w:t>
      </w:r>
      <w:r w:rsidRPr="00281428">
        <w:rPr>
          <w:rFonts w:eastAsia="Times New Roman"/>
          <w:b/>
          <w:strike/>
          <w:szCs w:val="24"/>
        </w:rPr>
        <w:t>the</w:t>
      </w:r>
      <w:r w:rsidRPr="00281428">
        <w:rPr>
          <w:rFonts w:eastAsia="Times New Roman"/>
          <w:szCs w:val="24"/>
        </w:rPr>
        <w:t xml:space="preserve"> </w:t>
      </w:r>
      <w:r w:rsidRPr="00281428">
        <w:rPr>
          <w:rFonts w:eastAsia="Times New Roman"/>
          <w:b/>
          <w:szCs w:val="24"/>
          <w:u w:val="single"/>
        </w:rPr>
        <w:t>a</w:t>
      </w:r>
      <w:r w:rsidRPr="00281428">
        <w:rPr>
          <w:rFonts w:eastAsia="Times New Roman"/>
          <w:szCs w:val="24"/>
        </w:rPr>
        <w:t xml:space="preserve"> container</w:t>
      </w:r>
      <w:r w:rsidRPr="00281428">
        <w:rPr>
          <w:rFonts w:eastAsia="Times New Roman"/>
          <w:b/>
          <w:szCs w:val="24"/>
          <w:u w:val="single"/>
        </w:rPr>
        <w:t xml:space="preserve"> receptacle, dispenser, storage tank</w:t>
      </w:r>
      <w:r w:rsidRPr="00281428">
        <w:rPr>
          <w:rFonts w:eastAsia="Times New Roman"/>
          <w:szCs w:val="24"/>
        </w:rPr>
        <w:t xml:space="preserve"> or in bulk does not meet an active API service category as defined by the latest version of SAE J183, “Engine Oil Performance and Engine Service Classification (Other than “Energy Conserving”)</w:t>
      </w:r>
      <w:r w:rsidRPr="00281428">
        <w:rPr>
          <w:rFonts w:eastAsia="Times New Roman"/>
          <w:b/>
          <w:strike/>
          <w:szCs w:val="24"/>
        </w:rPr>
        <w:t>.</w:t>
      </w:r>
      <w:r w:rsidRPr="00281428">
        <w:rPr>
          <w:rFonts w:eastAsia="Times New Roman"/>
          <w:b/>
          <w:szCs w:val="24"/>
          <w:u w:val="single"/>
        </w:rPr>
        <w:t>,</w:t>
      </w:r>
      <w:r w:rsidRPr="00281428">
        <w:rPr>
          <w:rFonts w:eastAsia="Times New Roman"/>
          <w:szCs w:val="24"/>
        </w:rPr>
        <w:t xml:space="preserve">” </w:t>
      </w:r>
      <w:r w:rsidRPr="00281428">
        <w:rPr>
          <w:rFonts w:eastAsia="Times New Roman"/>
          <w:b/>
          <w:szCs w:val="24"/>
          <w:u w:val="single"/>
        </w:rPr>
        <w:t>the front or forward-facing label</w:t>
      </w:r>
      <w:r w:rsidRPr="00281428">
        <w:rPr>
          <w:rFonts w:eastAsia="Times New Roman"/>
          <w:szCs w:val="24"/>
        </w:rPr>
        <w:t xml:space="preserve"> </w:t>
      </w:r>
      <w:r w:rsidRPr="00281428">
        <w:rPr>
          <w:rFonts w:eastAsia="Times New Roman"/>
          <w:b/>
          <w:strike/>
          <w:szCs w:val="24"/>
        </w:rPr>
        <w:t>If a</w:t>
      </w:r>
      <w:r w:rsidRPr="00281428">
        <w:rPr>
          <w:rFonts w:eastAsia="Times New Roman"/>
          <w:szCs w:val="24"/>
        </w:rPr>
        <w:t xml:space="preserve"> </w:t>
      </w:r>
      <w:r w:rsidRPr="00281428">
        <w:rPr>
          <w:rFonts w:eastAsia="Times New Roman"/>
          <w:b/>
          <w:szCs w:val="24"/>
          <w:u w:val="single"/>
        </w:rPr>
        <w:t xml:space="preserve">of such </w:t>
      </w:r>
      <w:r w:rsidRPr="00281428">
        <w:rPr>
          <w:rFonts w:eastAsia="Times New Roman"/>
          <w:szCs w:val="24"/>
        </w:rPr>
        <w:t xml:space="preserve">vehicle engine (motor) oil </w:t>
      </w:r>
      <w:r w:rsidRPr="00281428">
        <w:rPr>
          <w:rFonts w:eastAsia="Times New Roman"/>
          <w:b/>
          <w:szCs w:val="24"/>
          <w:u w:val="single"/>
        </w:rPr>
        <w:t>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imes New Roman"/>
          <w:b/>
          <w:szCs w:val="24"/>
          <w:u w:val="single"/>
        </w:rPr>
        <w:t xml:space="preserve"> </w:t>
      </w:r>
      <w:r w:rsidRPr="00281428">
        <w:rPr>
          <w:rFonts w:eastAsia="Times New Roman"/>
          <w:b/>
          <w:szCs w:val="24"/>
          <w:u w:val="single"/>
        </w:rPr>
        <w:t xml:space="preserve">visible cautionary statement </w:t>
      </w:r>
      <w:r w:rsidRPr="00281428">
        <w:rPr>
          <w:rFonts w:eastAsia="Times New Roman"/>
          <w:b/>
          <w:szCs w:val="24"/>
          <w:u w:val="single"/>
        </w:rPr>
        <w:lastRenderedPageBreak/>
        <w:t>set forth in the latest version of SAE J183, Appendix A.  Whenever any vehicle engine (motor) oil is declared obsolete by a vehicle or engine manufacturer, the front of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imes New Roman"/>
          <w:b/>
          <w:szCs w:val="24"/>
          <w:u w:val="single"/>
        </w:rPr>
        <w:t xml:space="preserve"> </w:t>
      </w:r>
      <w:r w:rsidRPr="00281428">
        <w:rPr>
          <w:rFonts w:eastAsia="Times New Roman"/>
          <w:b/>
          <w:szCs w:val="24"/>
          <w:u w:val="single"/>
        </w:rPr>
        <w:t xml:space="preserve">visible cautionary statement required by the vehicle or engine manufacturer. </w:t>
      </w:r>
    </w:p>
    <w:p w14:paraId="740BEED0" w14:textId="77777777" w:rsidR="005B4BE9" w:rsidRPr="00281428" w:rsidRDefault="005B4BE9" w:rsidP="002F0196">
      <w:pPr>
        <w:spacing w:before="60"/>
        <w:ind w:left="360"/>
        <w:rPr>
          <w:rFonts w:eastAsia="Times New Roman"/>
          <w:szCs w:val="24"/>
        </w:rPr>
      </w:pPr>
      <w:r w:rsidRPr="00281428">
        <w:rPr>
          <w:rFonts w:eastAsia="Times New Roman"/>
          <w:szCs w:val="24"/>
        </w:rPr>
        <w:t>(Added 2012) (Amended 2014</w:t>
      </w:r>
      <w:r w:rsidRPr="00281428">
        <w:rPr>
          <w:rFonts w:eastAsia="Times New Roman"/>
          <w:b/>
          <w:szCs w:val="24"/>
          <w:u w:val="single"/>
        </w:rPr>
        <w:t xml:space="preserve"> and 20XX</w:t>
      </w:r>
      <w:r w:rsidRPr="00281428">
        <w:rPr>
          <w:rFonts w:eastAsia="Times New Roman"/>
          <w:szCs w:val="24"/>
        </w:rPr>
        <w:t>)</w:t>
      </w:r>
    </w:p>
    <w:p w14:paraId="0256879D" w14:textId="77777777" w:rsidR="00FC537E" w:rsidRPr="00281428" w:rsidRDefault="00FC537E" w:rsidP="00721E13">
      <w:pPr>
        <w:keepNext/>
        <w:keepLines/>
        <w:spacing w:after="120"/>
        <w:rPr>
          <w:szCs w:val="20"/>
        </w:rPr>
      </w:pPr>
      <w:bookmarkStart w:id="138" w:name="_Hlk69303050"/>
      <w:r w:rsidRPr="00281428">
        <w:rPr>
          <w:b/>
          <w:szCs w:val="20"/>
        </w:rPr>
        <w:t>Regional Association Comments:</w:t>
      </w:r>
    </w:p>
    <w:bookmarkEnd w:id="138"/>
    <w:p w14:paraId="4C9D3FAB" w14:textId="473B0CA7" w:rsidR="00FC537E" w:rsidRPr="00281428" w:rsidRDefault="00FC537E" w:rsidP="00721E13">
      <w:pPr>
        <w:keepNext/>
        <w:keepLines/>
        <w:rPr>
          <w:rFonts w:eastAsia="Times New Roman"/>
          <w:szCs w:val="24"/>
        </w:rPr>
      </w:pPr>
      <w:r w:rsidRPr="00D877B4">
        <w:rPr>
          <w:szCs w:val="20"/>
          <w:u w:val="single"/>
        </w:rPr>
        <w:t xml:space="preserve">WWMA </w:t>
      </w:r>
      <w:r w:rsidR="00557607">
        <w:rPr>
          <w:szCs w:val="20"/>
          <w:u w:val="single"/>
        </w:rPr>
        <w:t xml:space="preserve">2019 </w:t>
      </w:r>
      <w:r w:rsidRPr="00D877B4">
        <w:rPr>
          <w:szCs w:val="20"/>
          <w:u w:val="single"/>
        </w:rPr>
        <w:t>Annual Meeting</w:t>
      </w:r>
      <w:r w:rsidR="00D877B4" w:rsidRPr="00D877B4">
        <w:rPr>
          <w:szCs w:val="20"/>
          <w:u w:val="single"/>
        </w:rPr>
        <w:t>:</w:t>
      </w:r>
      <w:r w:rsidR="00D877B4">
        <w:rPr>
          <w:szCs w:val="20"/>
        </w:rPr>
        <w:t xml:space="preserve">  The Committee</w:t>
      </w:r>
      <w:r w:rsidRPr="00281428">
        <w:rPr>
          <w:szCs w:val="20"/>
        </w:rPr>
        <w:t xml:space="preserve"> noted that w</w:t>
      </w:r>
      <w:r w:rsidRPr="00281428">
        <w:rPr>
          <w:rFonts w:eastAsia="Times New Roman"/>
          <w:szCs w:val="24"/>
        </w:rPr>
        <w:t>ithin both regulations Section 2.33.1.3.2. and 3.13.1.3.2.  the term “statement” needs to be inserted after the word “cautionary.”  With the inclusion of this word the FALS Chair and API believed that B3: MOS-18.1 and B3 FLR-18.1 are fully developed.  The Committee is recommending this block be provided a Voting status.</w:t>
      </w:r>
    </w:p>
    <w:p w14:paraId="47A04E5A" w14:textId="77777777" w:rsidR="00FC537E" w:rsidRPr="00281428" w:rsidRDefault="00FC537E" w:rsidP="00D9564F">
      <w:pPr>
        <w:rPr>
          <w:rFonts w:eastAsia="Times New Roman"/>
          <w:szCs w:val="24"/>
        </w:rPr>
      </w:pPr>
      <w:r w:rsidRPr="00281428">
        <w:rPr>
          <w:rFonts w:eastAsia="Times New Roman"/>
          <w:szCs w:val="24"/>
        </w:rPr>
        <w:t>The modified language in each paragraph is shown below in response to a request during the voting session:</w:t>
      </w:r>
    </w:p>
    <w:p w14:paraId="6BEAAB42" w14:textId="4115883E" w:rsidR="00FC537E" w:rsidRPr="00281428" w:rsidRDefault="00FC537E" w:rsidP="00D9564F">
      <w:pPr>
        <w:spacing w:after="60"/>
        <w:ind w:left="720"/>
        <w:rPr>
          <w:b/>
          <w:u w:val="single"/>
        </w:rPr>
      </w:pPr>
      <w:r w:rsidRPr="00281428">
        <w:rPr>
          <w:b/>
        </w:rPr>
        <w:t>2.33.1.3.2.  Inactive or Obsolete Service Categories. –</w:t>
      </w:r>
      <w:r w:rsidRPr="00281428">
        <w:rPr>
          <w:b/>
          <w:strike/>
        </w:rPr>
        <w:t>The label on any vehicle engine (motor) oil container, receptacle, dispenser, or storage tank and the invoice or receipt from service on an engine that includes the installation of bulk vehicle engine (motor) oil dispensed from a receptacle, dispenser, or storage tank shall bear a plainly visible cautionary statement in compliance with the latest version of SAE J183, Appendix A,</w:t>
      </w:r>
      <w:r w:rsidRPr="00281428">
        <w:t xml:space="preserve"> </w:t>
      </w:r>
      <w:r w:rsidRPr="00281428">
        <w:rPr>
          <w:b/>
          <w:u w:val="single"/>
        </w:rPr>
        <w:t>W</w:t>
      </w:r>
      <w:r w:rsidRPr="00281428">
        <w:t xml:space="preserve">henever </w:t>
      </w:r>
      <w:r w:rsidRPr="00281428">
        <w:rPr>
          <w:b/>
          <w:strike/>
        </w:rPr>
        <w:t>the</w:t>
      </w:r>
      <w:r w:rsidRPr="00281428">
        <w:t xml:space="preserve"> </w:t>
      </w:r>
      <w:r w:rsidRPr="00281428">
        <w:rPr>
          <w:b/>
          <w:u w:val="single"/>
        </w:rPr>
        <w:t>any</w:t>
      </w:r>
      <w:r w:rsidRPr="00281428">
        <w:t xml:space="preserve"> vehicle engine (motor) oil in </w:t>
      </w:r>
      <w:r w:rsidRPr="00281428">
        <w:rPr>
          <w:b/>
          <w:strike/>
        </w:rPr>
        <w:t>the</w:t>
      </w:r>
      <w:r w:rsidRPr="00281428">
        <w:t xml:space="preserve"> </w:t>
      </w:r>
      <w:r w:rsidRPr="00281428">
        <w:rPr>
          <w:b/>
          <w:u w:val="single"/>
        </w:rPr>
        <w:t>a</w:t>
      </w:r>
      <w:r w:rsidRPr="00281428">
        <w:t xml:space="preserve"> container</w:t>
      </w:r>
      <w:r w:rsidRPr="00281428">
        <w:rPr>
          <w:b/>
          <w:u w:val="single"/>
        </w:rPr>
        <w:t xml:space="preserve">, receptacle, dispenser, storage tank, </w:t>
      </w:r>
      <w:r w:rsidRPr="00281428">
        <w:t>or in bulk does not meet an active API service category as defined by the latest version of SAE J183, “Engine Oil Performance and Engine Service Classification (Other than “Energy Conserving”)</w:t>
      </w:r>
      <w:r w:rsidRPr="00281428">
        <w:rPr>
          <w:b/>
          <w:strike/>
        </w:rPr>
        <w:t>.</w:t>
      </w:r>
      <w:r w:rsidRPr="00281428">
        <w:rPr>
          <w:b/>
          <w:u w:val="single"/>
        </w:rPr>
        <w:t>.</w:t>
      </w:r>
      <w:r w:rsidRPr="00281428">
        <w:t xml:space="preserve">” </w:t>
      </w:r>
      <w:r w:rsidRPr="00281428">
        <w:rPr>
          <w:b/>
          <w:u w:val="single"/>
        </w:rPr>
        <w:t>the front or forward facing-label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b/>
          <w:u w:val="single"/>
        </w:rPr>
        <w:t xml:space="preserve"> </w:t>
      </w:r>
      <w:r w:rsidRPr="00281428">
        <w:rPr>
          <w:b/>
          <w:u w:val="single"/>
        </w:rPr>
        <w:t xml:space="preserve">visible, cautionary statement set forth in the latest version of SAE J183, Appendix A.  </w:t>
      </w:r>
      <w:r w:rsidRPr="00281428">
        <w:rPr>
          <w:rFonts w:eastAsiaTheme="minorHAnsi"/>
          <w:b/>
          <w:color w:val="000000" w:themeColor="text1"/>
          <w:szCs w:val="20"/>
          <w:u w:val="single"/>
          <w:lang w:val="en-CA"/>
        </w:rPr>
        <w:t>Whenever any vehicle engine (motor) oil is declared obsolete by a vehicle or engine manufacturer, the front or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heme="minorHAnsi"/>
          <w:b/>
          <w:color w:val="000000" w:themeColor="text1"/>
          <w:szCs w:val="20"/>
          <w:u w:val="single"/>
          <w:lang w:val="en-CA"/>
        </w:rPr>
        <w:t xml:space="preserve"> </w:t>
      </w:r>
      <w:r w:rsidRPr="00281428">
        <w:rPr>
          <w:rFonts w:eastAsiaTheme="minorHAnsi"/>
          <w:b/>
          <w:color w:val="000000" w:themeColor="text1"/>
          <w:szCs w:val="20"/>
          <w:u w:val="single"/>
          <w:lang w:val="en-CA"/>
        </w:rPr>
        <w:t xml:space="preserve">visible, cautionary </w:t>
      </w:r>
      <w:r w:rsidRPr="00281428">
        <w:rPr>
          <w:rFonts w:ascii="Times New Roman Bold" w:eastAsiaTheme="minorHAnsi" w:hAnsi="Times New Roman Bold"/>
          <w:b/>
          <w:color w:val="000000" w:themeColor="text1"/>
          <w:szCs w:val="20"/>
          <w:u w:val="double"/>
          <w:lang w:val="en-CA"/>
        </w:rPr>
        <w:t>statement</w:t>
      </w:r>
      <w:r w:rsidRPr="00281428">
        <w:rPr>
          <w:rFonts w:eastAsiaTheme="minorHAnsi"/>
          <w:b/>
          <w:color w:val="000000" w:themeColor="text1"/>
          <w:szCs w:val="20"/>
          <w:u w:val="single"/>
          <w:lang w:val="en-CA"/>
        </w:rPr>
        <w:t xml:space="preserve"> required by the vehicle or engine manufacturer.</w:t>
      </w:r>
      <w:r w:rsidRPr="00281428">
        <w:rPr>
          <w:lang w:val="en-CA"/>
        </w:rPr>
        <w:t xml:space="preserve"> </w:t>
      </w:r>
      <w:r w:rsidRPr="00281428">
        <w:rPr>
          <w:b/>
          <w:strike/>
        </w:rPr>
        <w:t>If a vehicle engine (motor) oil is identified as only meeting a vehicle or engine manufacturer standard, the labeling requirements in Section 2.33.1.3.1. Vehicle or Engine Manufacturer Standard applies.</w:t>
      </w:r>
    </w:p>
    <w:p w14:paraId="24B8F7A4" w14:textId="77777777" w:rsidR="00FC537E" w:rsidRPr="00281428" w:rsidRDefault="00FC537E" w:rsidP="00D9564F">
      <w:pPr>
        <w:ind w:left="720"/>
      </w:pPr>
      <w:r w:rsidRPr="00281428">
        <w:t xml:space="preserve">(Amended 2014 </w:t>
      </w:r>
      <w:r w:rsidRPr="00281428">
        <w:rPr>
          <w:b/>
          <w:u w:val="single"/>
        </w:rPr>
        <w:t>and 20XX</w:t>
      </w:r>
      <w:r w:rsidRPr="00281428">
        <w:t>)</w:t>
      </w:r>
    </w:p>
    <w:p w14:paraId="6701215F" w14:textId="316C0D5E" w:rsidR="00FC537E" w:rsidRPr="00281428" w:rsidRDefault="00FC537E" w:rsidP="00D9564F">
      <w:pPr>
        <w:tabs>
          <w:tab w:val="left" w:pos="540"/>
        </w:tabs>
        <w:spacing w:after="0"/>
        <w:ind w:left="720"/>
        <w:rPr>
          <w:rFonts w:eastAsia="Times New Roman"/>
          <w:szCs w:val="24"/>
        </w:rPr>
      </w:pPr>
      <w:r w:rsidRPr="00281428">
        <w:rPr>
          <w:rFonts w:eastAsia="Times New Roman"/>
          <w:b/>
          <w:szCs w:val="24"/>
        </w:rPr>
        <w:t>3.13.1.3.2. Inactive or Obsolete Service Categories. –</w:t>
      </w:r>
      <w:r w:rsidRPr="00281428">
        <w:rPr>
          <w:rFonts w:eastAsia="Times New Roman"/>
          <w:b/>
          <w:strike/>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the latest version of SAE J183, “Engine Oil Performance and Engine Service Classification (Other than “Energy Conserving”)” Appendix A,</w:t>
      </w:r>
      <w:r w:rsidRPr="00281428">
        <w:rPr>
          <w:rFonts w:eastAsia="Times New Roman"/>
          <w:szCs w:val="24"/>
        </w:rPr>
        <w:t xml:space="preserve"> </w:t>
      </w:r>
      <w:r w:rsidRPr="00281428">
        <w:rPr>
          <w:rFonts w:eastAsia="Times New Roman"/>
          <w:b/>
          <w:szCs w:val="24"/>
          <w:u w:val="single"/>
        </w:rPr>
        <w:t>W</w:t>
      </w:r>
      <w:r w:rsidRPr="00281428">
        <w:rPr>
          <w:rFonts w:eastAsia="Times New Roman"/>
          <w:szCs w:val="24"/>
        </w:rPr>
        <w:t xml:space="preserve">henever </w:t>
      </w:r>
      <w:r w:rsidRPr="00281428">
        <w:rPr>
          <w:rFonts w:eastAsia="Times New Roman"/>
          <w:b/>
          <w:strike/>
          <w:szCs w:val="24"/>
        </w:rPr>
        <w:t>the</w:t>
      </w:r>
      <w:r w:rsidRPr="00281428">
        <w:rPr>
          <w:rFonts w:eastAsia="Times New Roman"/>
          <w:szCs w:val="24"/>
        </w:rPr>
        <w:t xml:space="preserve"> </w:t>
      </w:r>
      <w:r w:rsidRPr="00281428">
        <w:rPr>
          <w:rFonts w:eastAsia="Times New Roman"/>
          <w:b/>
          <w:szCs w:val="24"/>
          <w:u w:val="single"/>
        </w:rPr>
        <w:t xml:space="preserve">any </w:t>
      </w:r>
      <w:r w:rsidRPr="00281428">
        <w:rPr>
          <w:rFonts w:eastAsia="Times New Roman"/>
          <w:szCs w:val="24"/>
        </w:rPr>
        <w:t xml:space="preserve">vehicle engine (motor) oil in </w:t>
      </w:r>
      <w:r w:rsidRPr="00281428">
        <w:rPr>
          <w:rFonts w:eastAsia="Times New Roman"/>
          <w:b/>
          <w:strike/>
          <w:szCs w:val="24"/>
        </w:rPr>
        <w:t>the</w:t>
      </w:r>
      <w:r w:rsidRPr="00281428">
        <w:rPr>
          <w:rFonts w:eastAsia="Times New Roman"/>
          <w:szCs w:val="24"/>
        </w:rPr>
        <w:t xml:space="preserve"> </w:t>
      </w:r>
      <w:r w:rsidRPr="00281428">
        <w:rPr>
          <w:rFonts w:eastAsia="Times New Roman"/>
          <w:b/>
          <w:szCs w:val="24"/>
          <w:u w:val="single"/>
        </w:rPr>
        <w:t>a</w:t>
      </w:r>
      <w:r w:rsidRPr="00281428">
        <w:rPr>
          <w:rFonts w:eastAsia="Times New Roman"/>
          <w:szCs w:val="24"/>
        </w:rPr>
        <w:t xml:space="preserve"> container</w:t>
      </w:r>
      <w:r w:rsidRPr="00281428">
        <w:rPr>
          <w:rFonts w:eastAsia="Times New Roman"/>
          <w:b/>
          <w:szCs w:val="24"/>
          <w:u w:val="single"/>
        </w:rPr>
        <w:t xml:space="preserve"> receptacle, dispenser, storage tank</w:t>
      </w:r>
      <w:r w:rsidRPr="00281428">
        <w:rPr>
          <w:rFonts w:eastAsia="Times New Roman"/>
          <w:szCs w:val="24"/>
        </w:rPr>
        <w:t xml:space="preserve"> or in bulk does not meet an active API service category as defined by the latest version of SAE J183, “Engine Oil Performance and Engine Service Classification (Other than “Energy Conserving”)</w:t>
      </w:r>
      <w:r w:rsidRPr="00281428">
        <w:rPr>
          <w:rFonts w:eastAsia="Times New Roman"/>
          <w:b/>
          <w:strike/>
          <w:szCs w:val="24"/>
        </w:rPr>
        <w:t>.</w:t>
      </w:r>
      <w:r w:rsidRPr="00281428">
        <w:rPr>
          <w:rFonts w:eastAsia="Times New Roman"/>
          <w:b/>
          <w:szCs w:val="24"/>
          <w:u w:val="single"/>
        </w:rPr>
        <w:t>,</w:t>
      </w:r>
      <w:r w:rsidRPr="00281428">
        <w:rPr>
          <w:rFonts w:eastAsia="Times New Roman"/>
          <w:szCs w:val="24"/>
        </w:rPr>
        <w:t xml:space="preserve">” </w:t>
      </w:r>
      <w:r w:rsidRPr="00281428">
        <w:rPr>
          <w:rFonts w:eastAsia="Times New Roman"/>
          <w:b/>
          <w:szCs w:val="24"/>
          <w:u w:val="single"/>
        </w:rPr>
        <w:t>the front or forward-facing label</w:t>
      </w:r>
      <w:r w:rsidRPr="00281428">
        <w:rPr>
          <w:rFonts w:eastAsia="Times New Roman"/>
          <w:szCs w:val="24"/>
        </w:rPr>
        <w:t xml:space="preserve"> </w:t>
      </w:r>
      <w:r w:rsidRPr="00281428">
        <w:rPr>
          <w:rFonts w:eastAsia="Times New Roman"/>
          <w:b/>
          <w:strike/>
          <w:szCs w:val="24"/>
        </w:rPr>
        <w:t>If a</w:t>
      </w:r>
      <w:r w:rsidRPr="00281428">
        <w:rPr>
          <w:rFonts w:eastAsia="Times New Roman"/>
          <w:szCs w:val="24"/>
        </w:rPr>
        <w:t xml:space="preserve"> </w:t>
      </w:r>
      <w:r w:rsidRPr="00281428">
        <w:rPr>
          <w:rFonts w:eastAsia="Times New Roman"/>
          <w:b/>
          <w:szCs w:val="24"/>
          <w:u w:val="single"/>
        </w:rPr>
        <w:t xml:space="preserve">of such </w:t>
      </w:r>
      <w:r w:rsidRPr="00281428">
        <w:rPr>
          <w:rFonts w:eastAsia="Times New Roman"/>
          <w:szCs w:val="24"/>
        </w:rPr>
        <w:t xml:space="preserve">vehicle engine (motor) oil </w:t>
      </w:r>
      <w:r w:rsidRPr="00281428">
        <w:rPr>
          <w:rFonts w:eastAsia="Times New Roman"/>
          <w:b/>
          <w:szCs w:val="24"/>
          <w:u w:val="single"/>
        </w:rPr>
        <w:t>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imes New Roman"/>
          <w:b/>
          <w:szCs w:val="24"/>
          <w:u w:val="single"/>
        </w:rPr>
        <w:t xml:space="preserve"> </w:t>
      </w:r>
      <w:r w:rsidRPr="00281428">
        <w:rPr>
          <w:rFonts w:eastAsia="Times New Roman"/>
          <w:b/>
          <w:szCs w:val="24"/>
          <w:u w:val="single"/>
        </w:rPr>
        <w:t>visible cautionary statement set forth in the latest version of SAE J183, Appendix A.  Whenever any vehicle engine (motor) oil is declared obsolete by a vehicle or engine manufacturer, the front of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w:t>
      </w:r>
      <w:r w:rsidR="002D600D" w:rsidRPr="00281428">
        <w:rPr>
          <w:rFonts w:eastAsia="Times New Roman"/>
          <w:b/>
          <w:szCs w:val="24"/>
          <w:u w:val="single"/>
        </w:rPr>
        <w:t xml:space="preserve"> </w:t>
      </w:r>
      <w:r w:rsidRPr="00281428">
        <w:rPr>
          <w:rFonts w:eastAsia="Times New Roman"/>
          <w:b/>
          <w:szCs w:val="24"/>
          <w:u w:val="single"/>
        </w:rPr>
        <w:t xml:space="preserve">visible cautionary </w:t>
      </w:r>
      <w:r w:rsidRPr="00281428">
        <w:rPr>
          <w:rFonts w:ascii="Times New Roman Bold" w:eastAsia="Times New Roman" w:hAnsi="Times New Roman Bold"/>
          <w:b/>
          <w:szCs w:val="24"/>
          <w:u w:val="double"/>
        </w:rPr>
        <w:t>statement</w:t>
      </w:r>
      <w:r w:rsidRPr="00281428">
        <w:rPr>
          <w:rFonts w:eastAsia="Times New Roman"/>
          <w:b/>
          <w:szCs w:val="24"/>
          <w:u w:val="single"/>
        </w:rPr>
        <w:t xml:space="preserve"> required by the vehicle or engine manufacturer. </w:t>
      </w:r>
    </w:p>
    <w:p w14:paraId="316A2EB3" w14:textId="77777777" w:rsidR="00FC537E" w:rsidRPr="00281428" w:rsidRDefault="00FC537E" w:rsidP="00D9564F">
      <w:pPr>
        <w:tabs>
          <w:tab w:val="left" w:pos="540"/>
        </w:tabs>
        <w:spacing w:before="60"/>
        <w:ind w:left="720"/>
        <w:rPr>
          <w:rFonts w:eastAsia="Times New Roman"/>
          <w:szCs w:val="24"/>
        </w:rPr>
      </w:pPr>
      <w:r w:rsidRPr="00281428">
        <w:rPr>
          <w:rFonts w:eastAsia="Times New Roman"/>
          <w:szCs w:val="24"/>
        </w:rPr>
        <w:lastRenderedPageBreak/>
        <w:t>(Added 2012) (Amended 2014</w:t>
      </w:r>
      <w:r w:rsidRPr="00281428">
        <w:rPr>
          <w:rFonts w:eastAsia="Times New Roman"/>
          <w:b/>
          <w:szCs w:val="24"/>
          <w:u w:val="single"/>
        </w:rPr>
        <w:t xml:space="preserve"> and 20XX</w:t>
      </w:r>
      <w:r w:rsidRPr="00281428">
        <w:rPr>
          <w:rFonts w:eastAsia="Times New Roman"/>
          <w:szCs w:val="24"/>
        </w:rPr>
        <w:t>)</w:t>
      </w:r>
    </w:p>
    <w:p w14:paraId="518E662A" w14:textId="77777777" w:rsidR="00FC537E" w:rsidRPr="00281428" w:rsidRDefault="00FC537E" w:rsidP="00D9564F">
      <w:pPr>
        <w:rPr>
          <w:rFonts w:eastAsia="Times New Roman"/>
          <w:b/>
          <w:bCs/>
          <w:szCs w:val="24"/>
        </w:rPr>
      </w:pPr>
      <w:r w:rsidRPr="00281428">
        <w:rPr>
          <w:rFonts w:eastAsia="Times New Roman"/>
          <w:b/>
          <w:bCs/>
          <w:szCs w:val="24"/>
        </w:rPr>
        <w:t>FLL-18.1.  Engine Fuels &amp; Automotive Lubricants Inspection Law, Section 8.6 Prohibited Acts</w:t>
      </w:r>
    </w:p>
    <w:p w14:paraId="5EF22AA1" w14:textId="77777777" w:rsidR="00FC537E" w:rsidRPr="00281428" w:rsidRDefault="00FC537E" w:rsidP="00FC537E">
      <w:pPr>
        <w:rPr>
          <w:rFonts w:eastAsia="Times New Roman"/>
          <w:szCs w:val="24"/>
        </w:rPr>
      </w:pPr>
      <w:r w:rsidRPr="00281428">
        <w:rPr>
          <w:rFonts w:eastAsia="Times New Roman"/>
          <w:szCs w:val="24"/>
        </w:rPr>
        <w:t>It was noted within background information in the report that the submitter did not address the concern with Section 8.6. as to why the term “specified” is being stricken.   In addition, the sentence is not complete and the Committee questions “what is the meaning of the sentence, it appears to place the burden on the purchaser?”   The Committee recognizes this is a preexisting regulation but would like it addressed by FALS.</w:t>
      </w:r>
    </w:p>
    <w:p w14:paraId="0B5A465F" w14:textId="77777777" w:rsidR="00FC537E" w:rsidRPr="00281428" w:rsidRDefault="00FC537E" w:rsidP="00FC537E">
      <w:pPr>
        <w:rPr>
          <w:szCs w:val="20"/>
          <w:u w:val="single"/>
        </w:rPr>
      </w:pPr>
      <w:r w:rsidRPr="00281428">
        <w:rPr>
          <w:rFonts w:eastAsia="Times New Roman"/>
          <w:szCs w:val="24"/>
        </w:rPr>
        <w:t xml:space="preserve">Based on comments and uncertainty of FLL-18.1 we recommend that the submitter continue to work with FALS to develop this item.  </w:t>
      </w:r>
    </w:p>
    <w:p w14:paraId="214A62DC" w14:textId="2D0CD929" w:rsidR="00FC537E" w:rsidRPr="00281428" w:rsidRDefault="00FC537E" w:rsidP="00FC537E">
      <w:pPr>
        <w:rPr>
          <w:bCs/>
          <w:szCs w:val="20"/>
        </w:rPr>
      </w:pPr>
      <w:r w:rsidRPr="00D877B4">
        <w:rPr>
          <w:szCs w:val="20"/>
          <w:u w:val="single"/>
        </w:rPr>
        <w:t xml:space="preserve">SWMA </w:t>
      </w:r>
      <w:r w:rsidR="00557607">
        <w:rPr>
          <w:szCs w:val="20"/>
          <w:u w:val="single"/>
        </w:rPr>
        <w:t xml:space="preserve">2019 </w:t>
      </w:r>
      <w:r w:rsidRPr="00D877B4">
        <w:rPr>
          <w:szCs w:val="20"/>
          <w:u w:val="single"/>
        </w:rPr>
        <w:t>Annual Meeting</w:t>
      </w:r>
      <w:r w:rsidR="00D877B4" w:rsidRPr="00D877B4">
        <w:rPr>
          <w:szCs w:val="20"/>
          <w:u w:val="single"/>
        </w:rPr>
        <w:t>:</w:t>
      </w:r>
      <w:r w:rsidRPr="00281428">
        <w:rPr>
          <w:szCs w:val="20"/>
        </w:rPr>
        <w:t xml:space="preserve"> </w:t>
      </w:r>
      <w:r w:rsidR="00D877B4">
        <w:rPr>
          <w:szCs w:val="20"/>
        </w:rPr>
        <w:t xml:space="preserve"> I</w:t>
      </w:r>
      <w:r w:rsidRPr="00281428">
        <w:rPr>
          <w:szCs w:val="20"/>
        </w:rPr>
        <w:t>n</w:t>
      </w:r>
      <w:bookmarkStart w:id="139" w:name="_Hlk21359332"/>
      <w:r w:rsidRPr="00281428">
        <w:rPr>
          <w:bCs/>
          <w:szCs w:val="20"/>
        </w:rPr>
        <w:t xml:space="preserve"> previous reports Section 2.14 had been included.  The Committee reached out to Mr. Jeff Leiter</w:t>
      </w:r>
      <w:r w:rsidR="00C97E91">
        <w:rPr>
          <w:bCs/>
          <w:szCs w:val="20"/>
        </w:rPr>
        <w:t xml:space="preserve"> (ILMA)</w:t>
      </w:r>
      <w:r w:rsidRPr="00281428">
        <w:rPr>
          <w:bCs/>
          <w:szCs w:val="20"/>
        </w:rPr>
        <w:t xml:space="preserve"> confirmed that in error this Section is still under consideration and needs to be added into the reporting.</w:t>
      </w:r>
    </w:p>
    <w:p w14:paraId="3DBF5C2D" w14:textId="77777777" w:rsidR="00FC537E" w:rsidRPr="00281428" w:rsidRDefault="00FC537E" w:rsidP="00FC537E">
      <w:pPr>
        <w:ind w:left="360"/>
        <w:rPr>
          <w:rFonts w:ascii="Calibri" w:hAnsi="Calibri" w:cs="Calibri"/>
          <w:sz w:val="22"/>
        </w:rPr>
      </w:pPr>
      <w:r w:rsidRPr="00281428">
        <w:rPr>
          <w:b/>
          <w:bCs/>
          <w:szCs w:val="20"/>
        </w:rPr>
        <w:t>2.14.   Engine (Motor) Oil.</w:t>
      </w:r>
      <w:r w:rsidRPr="00281428">
        <w:rPr>
          <w:szCs w:val="20"/>
        </w:rPr>
        <w:t> – Shall not be sold or distributed for use unless the product conforms to the following specifications:</w:t>
      </w:r>
    </w:p>
    <w:p w14:paraId="71400469" w14:textId="77777777" w:rsidR="00FC537E" w:rsidRPr="00281428" w:rsidRDefault="00FC537E" w:rsidP="00FC537E">
      <w:pPr>
        <w:spacing w:after="200"/>
        <w:ind w:left="1080" w:hanging="360"/>
        <w:rPr>
          <w:rFonts w:ascii="Calibri" w:hAnsi="Calibri" w:cs="Calibri"/>
          <w:sz w:val="22"/>
        </w:rPr>
      </w:pPr>
      <w:r w:rsidRPr="00281428">
        <w:rPr>
          <w:szCs w:val="20"/>
        </w:rPr>
        <w:t>(a)</w:t>
      </w:r>
      <w:r w:rsidRPr="00281428">
        <w:rPr>
          <w:szCs w:val="20"/>
        </w:rPr>
        <w:tab/>
        <w:t>performance claims </w:t>
      </w:r>
      <w:r w:rsidRPr="00281428">
        <w:rPr>
          <w:b/>
          <w:bCs/>
          <w:szCs w:val="20"/>
          <w:u w:val="single"/>
        </w:rPr>
        <w:t>made regarding active performance categories, as</w:t>
      </w:r>
      <w:r w:rsidRPr="00281428">
        <w:rPr>
          <w:szCs w:val="20"/>
        </w:rPr>
        <w:t xml:space="preserve"> listed on the label shall be evaluated against the latest version of SAE J183, “Engine Oil Performance and Engine Service Classification,” API 1509 “Engine Oil Licensing and Certification System,” European Automobile Manufacturers’ Association (ACEA), “European Oil Sequences,” or other “Vehicle or Engine Manufacturer Standards” as </w:t>
      </w:r>
      <w:proofErr w:type="gramStart"/>
      <w:r w:rsidRPr="00281428">
        <w:rPr>
          <w:szCs w:val="20"/>
        </w:rPr>
        <w:t>applicable;</w:t>
      </w:r>
      <w:proofErr w:type="gramEnd"/>
    </w:p>
    <w:p w14:paraId="3FF616B9" w14:textId="77777777" w:rsidR="00FC537E" w:rsidRPr="00281428" w:rsidRDefault="00FC537E" w:rsidP="00FC537E">
      <w:pPr>
        <w:ind w:left="1080" w:hanging="360"/>
        <w:rPr>
          <w:rFonts w:ascii="Calibri" w:hAnsi="Calibri" w:cs="Calibri"/>
          <w:sz w:val="22"/>
        </w:rPr>
      </w:pPr>
      <w:r w:rsidRPr="00281428">
        <w:rPr>
          <w:b/>
          <w:bCs/>
          <w:szCs w:val="20"/>
          <w:u w:val="single"/>
        </w:rPr>
        <w:t>(b)</w:t>
      </w:r>
      <w:r w:rsidRPr="00281428">
        <w:rPr>
          <w:b/>
          <w:bCs/>
          <w:szCs w:val="20"/>
        </w:rPr>
        <w:tab/>
      </w:r>
      <w:r w:rsidRPr="00281428">
        <w:rPr>
          <w:b/>
          <w:bCs/>
          <w:szCs w:val="20"/>
          <w:u w:val="single"/>
        </w:rPr>
        <w:t>performance claims made regarding any obsolete performance categories, as listed on the label, shall be determined to meet the requirements of Section 3.13.1.3.2. “Inactive or Obsolete Service Categories” by displaying the appropriate cautionary labeling and</w:t>
      </w:r>
    </w:p>
    <w:p w14:paraId="5ED2844F" w14:textId="77777777" w:rsidR="00FC537E" w:rsidRPr="00281428" w:rsidRDefault="00FC537E" w:rsidP="00FC537E">
      <w:pPr>
        <w:spacing w:after="60"/>
        <w:ind w:left="1080" w:hanging="360"/>
        <w:rPr>
          <w:rFonts w:ascii="Calibri" w:hAnsi="Calibri" w:cs="Calibri"/>
          <w:sz w:val="22"/>
        </w:rPr>
      </w:pPr>
      <w:r w:rsidRPr="00281428">
        <w:rPr>
          <w:szCs w:val="20"/>
        </w:rPr>
        <w:t>(c)</w:t>
      </w:r>
      <w:r w:rsidRPr="00281428">
        <w:rPr>
          <w:szCs w:val="20"/>
        </w:rPr>
        <w:tab/>
        <w:t>the product shall meet its labeled viscosity grade specification as specified in the latest version of SAE J300, “Engine Oil Viscosity Classification.”</w:t>
      </w:r>
    </w:p>
    <w:p w14:paraId="4D2AA104" w14:textId="77777777" w:rsidR="00FC537E" w:rsidRPr="00281428" w:rsidRDefault="00FC537E" w:rsidP="00FC537E">
      <w:pPr>
        <w:spacing w:after="200"/>
        <w:ind w:left="360"/>
        <w:rPr>
          <w:szCs w:val="20"/>
        </w:rPr>
      </w:pPr>
      <w:r w:rsidRPr="00281428">
        <w:rPr>
          <w:szCs w:val="20"/>
        </w:rPr>
        <w:t>(Added 2004) (Amended 2014 </w:t>
      </w:r>
      <w:r w:rsidRPr="00281428">
        <w:rPr>
          <w:b/>
          <w:bCs/>
          <w:szCs w:val="20"/>
          <w:u w:val="single"/>
        </w:rPr>
        <w:t>and 20XX</w:t>
      </w:r>
      <w:r w:rsidRPr="00281428">
        <w:rPr>
          <w:szCs w:val="20"/>
        </w:rPr>
        <w:t>)</w:t>
      </w:r>
    </w:p>
    <w:bookmarkEnd w:id="139"/>
    <w:p w14:paraId="234988EB" w14:textId="77777777" w:rsidR="00FC537E" w:rsidRPr="00281428" w:rsidRDefault="00FC537E" w:rsidP="00FC537E">
      <w:pPr>
        <w:spacing w:after="200"/>
        <w:rPr>
          <w:rFonts w:cs="Calibri"/>
          <w:szCs w:val="20"/>
        </w:rPr>
      </w:pPr>
      <w:r w:rsidRPr="00281428">
        <w:rPr>
          <w:rFonts w:cs="Calibri"/>
          <w:szCs w:val="20"/>
        </w:rPr>
        <w:t>The word “statement” should be added after the term “cautionary” throughout the proposal.</w:t>
      </w:r>
    </w:p>
    <w:p w14:paraId="103E2BF2" w14:textId="77777777" w:rsidR="00FC537E" w:rsidRPr="00281428" w:rsidRDefault="00FC537E" w:rsidP="00FC537E">
      <w:pPr>
        <w:rPr>
          <w:szCs w:val="20"/>
        </w:rPr>
      </w:pPr>
      <w:r w:rsidRPr="00281428">
        <w:rPr>
          <w:rFonts w:cs="Calibri"/>
          <w:szCs w:val="20"/>
        </w:rPr>
        <w:t>The Committee is recommending this remain at FALS and the concerns be addressed.</w:t>
      </w:r>
    </w:p>
    <w:p w14:paraId="3C2892DE" w14:textId="5DD88994" w:rsidR="00FC537E" w:rsidRPr="00281428" w:rsidRDefault="00FC537E" w:rsidP="00FC537E">
      <w:pPr>
        <w:rPr>
          <w:rFonts w:eastAsia="Times New Roman"/>
          <w:szCs w:val="24"/>
        </w:rPr>
      </w:pPr>
      <w:r w:rsidRPr="00557607">
        <w:rPr>
          <w:szCs w:val="20"/>
          <w:u w:val="single"/>
        </w:rPr>
        <w:t xml:space="preserve">NEWMA </w:t>
      </w:r>
      <w:r w:rsidR="00557607">
        <w:rPr>
          <w:szCs w:val="20"/>
          <w:u w:val="single"/>
        </w:rPr>
        <w:t xml:space="preserve">2019 </w:t>
      </w:r>
      <w:r w:rsidRPr="00557607">
        <w:rPr>
          <w:szCs w:val="20"/>
          <w:u w:val="single"/>
        </w:rPr>
        <w:t>Interim Meeting</w:t>
      </w:r>
      <w:r w:rsidR="00D877B4">
        <w:rPr>
          <w:szCs w:val="20"/>
        </w:rPr>
        <w:t>:</w:t>
      </w:r>
      <w:r w:rsidRPr="00281428">
        <w:rPr>
          <w:szCs w:val="20"/>
        </w:rPr>
        <w:t xml:space="preserve"> Mr. </w:t>
      </w:r>
      <w:r w:rsidRPr="00281428">
        <w:rPr>
          <w:rFonts w:eastAsia="Times New Roman"/>
          <w:szCs w:val="24"/>
        </w:rPr>
        <w:t xml:space="preserve">Jeff Leiter (ILMA) commented that this proposal follows language that was recently adopted in California that addresses non-compatible or “obsolete” oils in the marketplace. </w:t>
      </w:r>
      <w:r w:rsidR="001320E4" w:rsidRPr="00281428">
        <w:rPr>
          <w:rFonts w:eastAsia="Times New Roman"/>
          <w:szCs w:val="24"/>
        </w:rPr>
        <w:t xml:space="preserve"> </w:t>
      </w:r>
      <w:r w:rsidRPr="00281428">
        <w:rPr>
          <w:rFonts w:eastAsia="Times New Roman"/>
          <w:szCs w:val="24"/>
        </w:rPr>
        <w:t xml:space="preserve">This effort is intended to address current litigation being considered in multiple states. </w:t>
      </w:r>
      <w:r w:rsidR="001320E4" w:rsidRPr="00281428">
        <w:rPr>
          <w:rFonts w:eastAsia="Times New Roman"/>
          <w:szCs w:val="24"/>
        </w:rPr>
        <w:t xml:space="preserve"> </w:t>
      </w:r>
      <w:r w:rsidRPr="00281428">
        <w:rPr>
          <w:rFonts w:eastAsia="Times New Roman"/>
          <w:szCs w:val="24"/>
        </w:rPr>
        <w:t xml:space="preserve">Ultimately, this current language is a product of further work with regulators as well as additional language which was inadvertently left out of the regional agenda proposals. </w:t>
      </w:r>
      <w:r w:rsidR="00E87A62" w:rsidRPr="00281428">
        <w:rPr>
          <w:rFonts w:eastAsia="Times New Roman"/>
          <w:szCs w:val="24"/>
        </w:rPr>
        <w:t xml:space="preserve"> </w:t>
      </w:r>
      <w:r w:rsidRPr="00281428">
        <w:rPr>
          <w:rFonts w:eastAsia="Times New Roman"/>
          <w:szCs w:val="24"/>
        </w:rPr>
        <w:t>The Committee recommends the item is ready for voting as amended.</w:t>
      </w:r>
    </w:p>
    <w:p w14:paraId="67743CE5" w14:textId="75DCC925" w:rsidR="00D877B4" w:rsidRDefault="00D877B4" w:rsidP="00ED0D76">
      <w:pPr>
        <w:rPr>
          <w:szCs w:val="20"/>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2626386C" w14:textId="1B04DD01" w:rsidR="00ED0D76" w:rsidRPr="00ED0D76" w:rsidRDefault="00FC537E" w:rsidP="00ED0D76">
      <w:pPr>
        <w:pStyle w:val="TableParagraph"/>
        <w:ind w:left="0" w:right="95"/>
        <w:jc w:val="both"/>
        <w:rPr>
          <w:sz w:val="20"/>
          <w:szCs w:val="20"/>
        </w:rPr>
      </w:pPr>
      <w:r w:rsidRPr="00ED0D76">
        <w:rPr>
          <w:sz w:val="20"/>
          <w:szCs w:val="20"/>
          <w:u w:val="single"/>
        </w:rPr>
        <w:t xml:space="preserve">CWMA </w:t>
      </w:r>
      <w:r w:rsidR="00557607">
        <w:rPr>
          <w:sz w:val="20"/>
          <w:szCs w:val="20"/>
          <w:u w:val="single"/>
        </w:rPr>
        <w:t xml:space="preserve">2020 </w:t>
      </w:r>
      <w:r w:rsidR="00ED0D76" w:rsidRPr="00ED0D76">
        <w:rPr>
          <w:sz w:val="20"/>
          <w:szCs w:val="20"/>
          <w:u w:val="single"/>
        </w:rPr>
        <w:t>Interim</w:t>
      </w:r>
      <w:r w:rsidRPr="00ED0D76">
        <w:rPr>
          <w:sz w:val="20"/>
          <w:szCs w:val="20"/>
          <w:u w:val="single"/>
        </w:rPr>
        <w:t xml:space="preserve"> Meeting</w:t>
      </w:r>
      <w:r w:rsidR="00ED0D76" w:rsidRPr="00ED0D76">
        <w:rPr>
          <w:sz w:val="20"/>
          <w:szCs w:val="20"/>
          <w:u w:val="single"/>
        </w:rPr>
        <w:t>:</w:t>
      </w:r>
      <w:r w:rsidR="00ED0D76" w:rsidRPr="00ED0D76">
        <w:rPr>
          <w:sz w:val="20"/>
          <w:szCs w:val="20"/>
        </w:rPr>
        <w:t xml:space="preserve"> Mr. Jeffrey Harmening (API) commented that his organization supports the modifications in general but has a recommendation that Sections 2.33.1.3.2. and 3.13.1.3.2. Inactive or Obsolete Service Categories (both sections) be revised to include the list of organizations and specifications listed in 2.33.1.3. and 3.13.1.3. Engine Service Category (both sections) to minimize the potential for improper use in engines.</w:t>
      </w:r>
    </w:p>
    <w:p w14:paraId="234F4341" w14:textId="77777777" w:rsidR="00ED0D76" w:rsidRPr="00ED0D76" w:rsidRDefault="00ED0D76" w:rsidP="00ED0D76">
      <w:pPr>
        <w:pStyle w:val="TableParagraph"/>
        <w:spacing w:before="10"/>
        <w:ind w:left="0"/>
        <w:rPr>
          <w:sz w:val="20"/>
          <w:szCs w:val="20"/>
        </w:rPr>
      </w:pPr>
    </w:p>
    <w:p w14:paraId="32D3DB0C" w14:textId="3A29A439" w:rsidR="00ED0D76" w:rsidRDefault="00ED0D76" w:rsidP="00ED0D76">
      <w:pPr>
        <w:pStyle w:val="TableParagraph"/>
        <w:ind w:left="0" w:right="97"/>
        <w:jc w:val="both"/>
        <w:rPr>
          <w:sz w:val="20"/>
        </w:rPr>
      </w:pPr>
      <w:r>
        <w:rPr>
          <w:sz w:val="20"/>
        </w:rPr>
        <w:t>Mr. Charlie Stutesman (</w:t>
      </w:r>
      <w:r w:rsidR="001377BB">
        <w:rPr>
          <w:sz w:val="20"/>
        </w:rPr>
        <w:t>KS</w:t>
      </w:r>
      <w:r>
        <w:rPr>
          <w:sz w:val="20"/>
        </w:rPr>
        <w:t>)</w:t>
      </w:r>
      <w:r w:rsidR="00595D9D">
        <w:rPr>
          <w:sz w:val="20"/>
        </w:rPr>
        <w:t xml:space="preserve"> </w:t>
      </w:r>
      <w:r>
        <w:rPr>
          <w:sz w:val="20"/>
        </w:rPr>
        <w:t>commented that he agrees that the NCWM L&amp;R Committee consider this be downgraded so that API’s concept can be fully vetted. He believes it makes a great deal of difference whether the new language references only the API service category or other organizations and specifications.</w:t>
      </w:r>
    </w:p>
    <w:p w14:paraId="04872B50" w14:textId="77777777" w:rsidR="00ED0D76" w:rsidRDefault="00ED0D76" w:rsidP="00ED0D76">
      <w:pPr>
        <w:pStyle w:val="TableParagraph"/>
        <w:spacing w:before="9"/>
        <w:ind w:left="0"/>
        <w:rPr>
          <w:sz w:val="20"/>
        </w:rPr>
      </w:pPr>
    </w:p>
    <w:p w14:paraId="4E5A9F2A" w14:textId="50954845" w:rsidR="00FC537E" w:rsidRPr="00281428" w:rsidRDefault="00ED0D76" w:rsidP="00ED0D76">
      <w:pPr>
        <w:rPr>
          <w:rFonts w:eastAsia="Times New Roman"/>
          <w:szCs w:val="24"/>
        </w:rPr>
      </w:pPr>
      <w:r>
        <w:lastRenderedPageBreak/>
        <w:t>Another</w:t>
      </w:r>
      <w:r>
        <w:rPr>
          <w:spacing w:val="-6"/>
        </w:rPr>
        <w:t xml:space="preserve"> </w:t>
      </w:r>
      <w:r>
        <w:t>concept</w:t>
      </w:r>
      <w:r>
        <w:rPr>
          <w:spacing w:val="-6"/>
        </w:rPr>
        <w:t xml:space="preserve"> </w:t>
      </w:r>
      <w:r>
        <w:t>received</w:t>
      </w:r>
      <w:r>
        <w:rPr>
          <w:spacing w:val="-6"/>
        </w:rPr>
        <w:t xml:space="preserve"> </w:t>
      </w:r>
      <w:r>
        <w:t>from</w:t>
      </w:r>
      <w:r>
        <w:rPr>
          <w:spacing w:val="-2"/>
        </w:rPr>
        <w:t xml:space="preserve"> </w:t>
      </w:r>
      <w:r>
        <w:t>Mr.</w:t>
      </w:r>
      <w:r>
        <w:rPr>
          <w:spacing w:val="-6"/>
        </w:rPr>
        <w:t xml:space="preserve"> </w:t>
      </w:r>
      <w:r>
        <w:t>Jeff</w:t>
      </w:r>
      <w:r>
        <w:rPr>
          <w:spacing w:val="-5"/>
        </w:rPr>
        <w:t xml:space="preserve"> </w:t>
      </w:r>
      <w:r>
        <w:t>Leiter,</w:t>
      </w:r>
      <w:r>
        <w:rPr>
          <w:spacing w:val="-9"/>
        </w:rPr>
        <w:t xml:space="preserve"> </w:t>
      </w:r>
      <w:r>
        <w:t>ILMA</w:t>
      </w:r>
      <w:r>
        <w:rPr>
          <w:spacing w:val="-5"/>
        </w:rPr>
        <w:t xml:space="preserve"> </w:t>
      </w:r>
      <w:r>
        <w:t>(the</w:t>
      </w:r>
      <w:r>
        <w:rPr>
          <w:spacing w:val="-8"/>
        </w:rPr>
        <w:t xml:space="preserve"> </w:t>
      </w:r>
      <w:r>
        <w:t>original</w:t>
      </w:r>
      <w:r>
        <w:rPr>
          <w:spacing w:val="-7"/>
        </w:rPr>
        <w:t xml:space="preserve"> </w:t>
      </w:r>
      <w:r>
        <w:t>submitter)</w:t>
      </w:r>
      <w:r>
        <w:rPr>
          <w:spacing w:val="-5"/>
        </w:rPr>
        <w:t xml:space="preserve"> </w:t>
      </w:r>
      <w:r>
        <w:t>is</w:t>
      </w:r>
      <w:r>
        <w:rPr>
          <w:spacing w:val="-8"/>
        </w:rPr>
        <w:t xml:space="preserve"> </w:t>
      </w:r>
      <w:r>
        <w:t>to</w:t>
      </w:r>
      <w:r>
        <w:rPr>
          <w:spacing w:val="-7"/>
        </w:rPr>
        <w:t xml:space="preserve"> </w:t>
      </w:r>
      <w:r>
        <w:t>reinstate</w:t>
      </w:r>
      <w:r>
        <w:rPr>
          <w:spacing w:val="-5"/>
        </w:rPr>
        <w:t xml:space="preserve"> </w:t>
      </w:r>
      <w:r>
        <w:t>the</w:t>
      </w:r>
      <w:r>
        <w:rPr>
          <w:spacing w:val="-6"/>
        </w:rPr>
        <w:t xml:space="preserve"> </w:t>
      </w:r>
      <w:r>
        <w:t>last</w:t>
      </w:r>
      <w:r>
        <w:rPr>
          <w:spacing w:val="-6"/>
        </w:rPr>
        <w:t xml:space="preserve"> </w:t>
      </w:r>
      <w:r>
        <w:t>sentence</w:t>
      </w:r>
      <w:r>
        <w:rPr>
          <w:spacing w:val="-6"/>
        </w:rPr>
        <w:t xml:space="preserve"> </w:t>
      </w:r>
      <w:r>
        <w:t>of</w:t>
      </w:r>
      <w:r>
        <w:rPr>
          <w:spacing w:val="-5"/>
        </w:rPr>
        <w:t xml:space="preserve"> </w:t>
      </w:r>
      <w:r>
        <w:t>the section:</w:t>
      </w:r>
      <w:r>
        <w:rPr>
          <w:spacing w:val="-4"/>
        </w:rPr>
        <w:t xml:space="preserve"> </w:t>
      </w:r>
      <w:r>
        <w:rPr>
          <w:i/>
        </w:rPr>
        <w:t>If</w:t>
      </w:r>
      <w:r>
        <w:rPr>
          <w:i/>
          <w:spacing w:val="-5"/>
        </w:rPr>
        <w:t xml:space="preserve"> </w:t>
      </w:r>
      <w:r>
        <w:rPr>
          <w:i/>
        </w:rPr>
        <w:t>a</w:t>
      </w:r>
      <w:r>
        <w:rPr>
          <w:i/>
          <w:spacing w:val="-2"/>
        </w:rPr>
        <w:t xml:space="preserve"> </w:t>
      </w:r>
      <w:r>
        <w:rPr>
          <w:i/>
        </w:rPr>
        <w:t>vehicle</w:t>
      </w:r>
      <w:r>
        <w:rPr>
          <w:i/>
          <w:spacing w:val="-4"/>
        </w:rPr>
        <w:t xml:space="preserve"> </w:t>
      </w:r>
      <w:r>
        <w:rPr>
          <w:i/>
        </w:rPr>
        <w:t>engine</w:t>
      </w:r>
      <w:r>
        <w:rPr>
          <w:i/>
          <w:spacing w:val="-5"/>
        </w:rPr>
        <w:t xml:space="preserve"> </w:t>
      </w:r>
      <w:r>
        <w:rPr>
          <w:i/>
        </w:rPr>
        <w:t>(motor)</w:t>
      </w:r>
      <w:r>
        <w:rPr>
          <w:i/>
          <w:spacing w:val="-4"/>
        </w:rPr>
        <w:t xml:space="preserve"> </w:t>
      </w:r>
      <w:r>
        <w:rPr>
          <w:i/>
        </w:rPr>
        <w:t>oil</w:t>
      </w:r>
      <w:r>
        <w:rPr>
          <w:i/>
          <w:spacing w:val="-5"/>
        </w:rPr>
        <w:t xml:space="preserve"> </w:t>
      </w:r>
      <w:r>
        <w:rPr>
          <w:i/>
        </w:rPr>
        <w:t>is</w:t>
      </w:r>
      <w:r>
        <w:rPr>
          <w:i/>
          <w:spacing w:val="-4"/>
        </w:rPr>
        <w:t xml:space="preserve"> </w:t>
      </w:r>
      <w:r>
        <w:rPr>
          <w:i/>
        </w:rPr>
        <w:t>identified</w:t>
      </w:r>
      <w:r>
        <w:rPr>
          <w:i/>
          <w:spacing w:val="-3"/>
        </w:rPr>
        <w:t xml:space="preserve"> </w:t>
      </w:r>
      <w:r>
        <w:rPr>
          <w:i/>
        </w:rPr>
        <w:t>as</w:t>
      </w:r>
      <w:r>
        <w:rPr>
          <w:i/>
          <w:spacing w:val="-6"/>
        </w:rPr>
        <w:t xml:space="preserve"> </w:t>
      </w:r>
      <w:r>
        <w:rPr>
          <w:i/>
        </w:rPr>
        <w:t>only</w:t>
      </w:r>
      <w:r>
        <w:rPr>
          <w:i/>
          <w:spacing w:val="-4"/>
        </w:rPr>
        <w:t xml:space="preserve"> </w:t>
      </w:r>
      <w:r>
        <w:rPr>
          <w:i/>
        </w:rPr>
        <w:t>meeting</w:t>
      </w:r>
      <w:r>
        <w:rPr>
          <w:i/>
          <w:spacing w:val="-2"/>
        </w:rPr>
        <w:t xml:space="preserve"> </w:t>
      </w:r>
      <w:r>
        <w:rPr>
          <w:i/>
        </w:rPr>
        <w:t>a</w:t>
      </w:r>
      <w:r>
        <w:rPr>
          <w:i/>
          <w:spacing w:val="-3"/>
        </w:rPr>
        <w:t xml:space="preserve"> </w:t>
      </w:r>
      <w:r>
        <w:rPr>
          <w:i/>
        </w:rPr>
        <w:t>vehicle</w:t>
      </w:r>
      <w:r>
        <w:rPr>
          <w:i/>
          <w:spacing w:val="-4"/>
        </w:rPr>
        <w:t xml:space="preserve"> </w:t>
      </w:r>
      <w:r>
        <w:rPr>
          <w:i/>
        </w:rPr>
        <w:t>or</w:t>
      </w:r>
      <w:r>
        <w:rPr>
          <w:i/>
          <w:spacing w:val="-4"/>
        </w:rPr>
        <w:t xml:space="preserve"> </w:t>
      </w:r>
      <w:r>
        <w:rPr>
          <w:i/>
        </w:rPr>
        <w:t>engine</w:t>
      </w:r>
      <w:r>
        <w:rPr>
          <w:i/>
          <w:spacing w:val="-4"/>
        </w:rPr>
        <w:t xml:space="preserve"> </w:t>
      </w:r>
      <w:r>
        <w:rPr>
          <w:i/>
        </w:rPr>
        <w:t>manufacturer</w:t>
      </w:r>
      <w:r>
        <w:rPr>
          <w:i/>
          <w:spacing w:val="-4"/>
        </w:rPr>
        <w:t xml:space="preserve"> </w:t>
      </w:r>
      <w:r>
        <w:rPr>
          <w:i/>
        </w:rPr>
        <w:t>standard,</w:t>
      </w:r>
      <w:r>
        <w:rPr>
          <w:i/>
          <w:spacing w:val="-4"/>
        </w:rPr>
        <w:t xml:space="preserve"> </w:t>
      </w:r>
      <w:r>
        <w:rPr>
          <w:i/>
        </w:rPr>
        <w:t xml:space="preserve">the labeling requirements in Section 2.33.1.3.1. Vehicle or Engine Manufacturer Standard applies. </w:t>
      </w:r>
      <w:r>
        <w:t>The Committee considered</w:t>
      </w:r>
      <w:r>
        <w:rPr>
          <w:spacing w:val="-10"/>
        </w:rPr>
        <w:t xml:space="preserve"> </w:t>
      </w:r>
      <w:r>
        <w:t>these</w:t>
      </w:r>
      <w:r>
        <w:rPr>
          <w:spacing w:val="-11"/>
        </w:rPr>
        <w:t xml:space="preserve"> </w:t>
      </w:r>
      <w:r>
        <w:t>changes</w:t>
      </w:r>
      <w:r>
        <w:rPr>
          <w:spacing w:val="-12"/>
        </w:rPr>
        <w:t xml:space="preserve"> </w:t>
      </w:r>
      <w:r>
        <w:t>and</w:t>
      </w:r>
      <w:r>
        <w:rPr>
          <w:spacing w:val="-12"/>
        </w:rPr>
        <w:t xml:space="preserve"> </w:t>
      </w:r>
      <w:r>
        <w:t>had</w:t>
      </w:r>
      <w:r>
        <w:rPr>
          <w:spacing w:val="-10"/>
        </w:rPr>
        <w:t xml:space="preserve"> </w:t>
      </w:r>
      <w:r>
        <w:t>a</w:t>
      </w:r>
      <w:r>
        <w:rPr>
          <w:spacing w:val="-10"/>
        </w:rPr>
        <w:t xml:space="preserve"> </w:t>
      </w:r>
      <w:r>
        <w:t>very</w:t>
      </w:r>
      <w:r>
        <w:rPr>
          <w:spacing w:val="-11"/>
        </w:rPr>
        <w:t xml:space="preserve"> </w:t>
      </w:r>
      <w:r>
        <w:t>comprehensive</w:t>
      </w:r>
      <w:r>
        <w:rPr>
          <w:spacing w:val="-10"/>
        </w:rPr>
        <w:t xml:space="preserve"> </w:t>
      </w:r>
      <w:r>
        <w:t>discussion</w:t>
      </w:r>
      <w:r>
        <w:rPr>
          <w:spacing w:val="-11"/>
        </w:rPr>
        <w:t xml:space="preserve"> </w:t>
      </w:r>
      <w:r>
        <w:t>regarding</w:t>
      </w:r>
      <w:r>
        <w:rPr>
          <w:spacing w:val="-10"/>
        </w:rPr>
        <w:t xml:space="preserve"> </w:t>
      </w:r>
      <w:r>
        <w:t>1)</w:t>
      </w:r>
      <w:r>
        <w:rPr>
          <w:spacing w:val="-11"/>
        </w:rPr>
        <w:t xml:space="preserve"> </w:t>
      </w:r>
      <w:r>
        <w:t>which</w:t>
      </w:r>
      <w:r>
        <w:rPr>
          <w:spacing w:val="-12"/>
        </w:rPr>
        <w:t xml:space="preserve"> </w:t>
      </w:r>
      <w:r>
        <w:t>proposal</w:t>
      </w:r>
      <w:r>
        <w:rPr>
          <w:spacing w:val="-11"/>
        </w:rPr>
        <w:t xml:space="preserve"> </w:t>
      </w:r>
      <w:r>
        <w:t>would</w:t>
      </w:r>
      <w:r>
        <w:rPr>
          <w:spacing w:val="-10"/>
        </w:rPr>
        <w:t xml:space="preserve"> </w:t>
      </w:r>
      <w:r>
        <w:t>best</w:t>
      </w:r>
      <w:r>
        <w:rPr>
          <w:spacing w:val="-12"/>
        </w:rPr>
        <w:t xml:space="preserve"> </w:t>
      </w:r>
      <w:r>
        <w:t>address the concerns of the industry, and 2) if the concept of either proposal had been vetted enough to allow the item to move forward with voting status. The Committee opted to provide both concepts to the NCWM L&amp;R Committee to further vet both proposals. Consequently, the CWMA L&amp;R Committee opts to not make a specific recommendation.</w:t>
      </w:r>
    </w:p>
    <w:p w14:paraId="4D3FB68E" w14:textId="77777777" w:rsidR="00ED0D76" w:rsidRDefault="00ED0D76" w:rsidP="00ED0D76">
      <w:pPr>
        <w:pStyle w:val="TableParagraph"/>
        <w:jc w:val="both"/>
        <w:rPr>
          <w:b/>
          <w:sz w:val="20"/>
        </w:rPr>
      </w:pPr>
      <w:r>
        <w:rPr>
          <w:b/>
          <w:sz w:val="20"/>
        </w:rPr>
        <w:t>API Revision (Concept 1):</w:t>
      </w:r>
    </w:p>
    <w:p w14:paraId="204B48F1" w14:textId="77777777" w:rsidR="00ED0D76" w:rsidRDefault="00ED0D76" w:rsidP="00ED0D76">
      <w:pPr>
        <w:pStyle w:val="TableParagraph"/>
        <w:spacing w:before="11"/>
        <w:ind w:left="0"/>
        <w:rPr>
          <w:sz w:val="20"/>
        </w:rPr>
      </w:pPr>
    </w:p>
    <w:p w14:paraId="033A19D9" w14:textId="77777777" w:rsidR="00ED0D76" w:rsidRDefault="00ED0D76" w:rsidP="00ED0D76">
      <w:pPr>
        <w:pStyle w:val="TableParagraph"/>
        <w:ind w:right="96"/>
        <w:jc w:val="both"/>
        <w:rPr>
          <w:b/>
          <w:sz w:val="20"/>
        </w:rPr>
      </w:pPr>
      <w:r>
        <w:rPr>
          <w:b/>
          <w:sz w:val="20"/>
        </w:rPr>
        <w:t>2.33.1.3.2. Inactive or Obsolete Service Categories. –</w:t>
      </w:r>
      <w:r>
        <w:rPr>
          <w:b/>
          <w:strike/>
          <w:sz w:val="20"/>
        </w:rPr>
        <w:t>The label on any vehicle engine (motor) oil container, receptacle, dispenser, or storage tank and the invoice or receipt from service on an engine that includes the installation of bulk vehicle engine (motor) oil dispensed from a receptacle, dispenser, or storage tank shall bear a plainly visible cautionary statement in compliance with the latest version of SAE J183, Appendix A,</w:t>
      </w:r>
      <w:r>
        <w:rPr>
          <w:b/>
          <w:sz w:val="20"/>
          <w:u w:val="single"/>
        </w:rPr>
        <w:t xml:space="preserve"> W</w:t>
      </w:r>
      <w:r>
        <w:rPr>
          <w:sz w:val="20"/>
        </w:rPr>
        <w:t xml:space="preserve">henever </w:t>
      </w:r>
      <w:r>
        <w:rPr>
          <w:b/>
          <w:strike/>
          <w:sz w:val="20"/>
        </w:rPr>
        <w:t>the</w:t>
      </w:r>
      <w:r>
        <w:rPr>
          <w:b/>
          <w:sz w:val="20"/>
        </w:rPr>
        <w:t xml:space="preserve"> </w:t>
      </w:r>
      <w:r>
        <w:rPr>
          <w:b/>
          <w:sz w:val="20"/>
          <w:u w:val="single"/>
        </w:rPr>
        <w:t>any</w:t>
      </w:r>
      <w:r>
        <w:rPr>
          <w:b/>
          <w:sz w:val="20"/>
        </w:rPr>
        <w:t xml:space="preserve"> </w:t>
      </w:r>
      <w:r>
        <w:rPr>
          <w:sz w:val="20"/>
        </w:rPr>
        <w:t xml:space="preserve">vehicle engine (motor) oil in </w:t>
      </w:r>
      <w:r>
        <w:rPr>
          <w:b/>
          <w:strike/>
          <w:sz w:val="20"/>
        </w:rPr>
        <w:t>the</w:t>
      </w:r>
      <w:r>
        <w:rPr>
          <w:b/>
          <w:sz w:val="20"/>
        </w:rPr>
        <w:t xml:space="preserve"> </w:t>
      </w:r>
      <w:r>
        <w:rPr>
          <w:b/>
          <w:sz w:val="20"/>
          <w:u w:val="single"/>
        </w:rPr>
        <w:t>a</w:t>
      </w:r>
      <w:r>
        <w:rPr>
          <w:b/>
          <w:sz w:val="20"/>
        </w:rPr>
        <w:t xml:space="preserve"> </w:t>
      </w:r>
      <w:r>
        <w:rPr>
          <w:sz w:val="20"/>
        </w:rPr>
        <w:t>container</w:t>
      </w:r>
      <w:r>
        <w:rPr>
          <w:b/>
          <w:sz w:val="20"/>
          <w:u w:val="single"/>
        </w:rPr>
        <w:t>, receptacle, dispenser, storage tank,</w:t>
      </w:r>
      <w:r>
        <w:rPr>
          <w:b/>
          <w:sz w:val="20"/>
        </w:rPr>
        <w:t xml:space="preserve"> </w:t>
      </w:r>
      <w:r>
        <w:rPr>
          <w:sz w:val="20"/>
        </w:rPr>
        <w:t>or in bulk does</w:t>
      </w:r>
      <w:r>
        <w:rPr>
          <w:spacing w:val="-14"/>
          <w:sz w:val="20"/>
        </w:rPr>
        <w:t xml:space="preserve"> </w:t>
      </w:r>
      <w:r>
        <w:rPr>
          <w:sz w:val="20"/>
        </w:rPr>
        <w:t>not</w:t>
      </w:r>
      <w:r>
        <w:rPr>
          <w:spacing w:val="-13"/>
          <w:sz w:val="20"/>
        </w:rPr>
        <w:t xml:space="preserve"> </w:t>
      </w:r>
      <w:r>
        <w:rPr>
          <w:sz w:val="20"/>
        </w:rPr>
        <w:t>meet</w:t>
      </w:r>
      <w:r>
        <w:rPr>
          <w:spacing w:val="-13"/>
          <w:sz w:val="20"/>
        </w:rPr>
        <w:t xml:space="preserve"> </w:t>
      </w:r>
      <w:r>
        <w:rPr>
          <w:sz w:val="20"/>
        </w:rPr>
        <w:t>an</w:t>
      </w:r>
      <w:r>
        <w:rPr>
          <w:spacing w:val="-12"/>
          <w:sz w:val="20"/>
        </w:rPr>
        <w:t xml:space="preserve"> </w:t>
      </w:r>
      <w:r>
        <w:rPr>
          <w:sz w:val="20"/>
        </w:rPr>
        <w:t>active</w:t>
      </w:r>
      <w:r>
        <w:rPr>
          <w:spacing w:val="-13"/>
          <w:sz w:val="20"/>
        </w:rPr>
        <w:t xml:space="preserve"> </w:t>
      </w:r>
      <w:r>
        <w:rPr>
          <w:sz w:val="20"/>
        </w:rPr>
        <w:t>API</w:t>
      </w:r>
      <w:r>
        <w:rPr>
          <w:spacing w:val="-13"/>
          <w:sz w:val="20"/>
        </w:rPr>
        <w:t xml:space="preserve"> </w:t>
      </w:r>
      <w:r>
        <w:rPr>
          <w:sz w:val="20"/>
        </w:rPr>
        <w:t>service</w:t>
      </w:r>
      <w:r>
        <w:rPr>
          <w:spacing w:val="-13"/>
          <w:sz w:val="20"/>
        </w:rPr>
        <w:t xml:space="preserve"> </w:t>
      </w:r>
      <w:r>
        <w:rPr>
          <w:sz w:val="20"/>
        </w:rPr>
        <w:t>category</w:t>
      </w:r>
      <w:r>
        <w:rPr>
          <w:spacing w:val="-12"/>
          <w:sz w:val="20"/>
        </w:rPr>
        <w:t xml:space="preserve"> </w:t>
      </w:r>
      <w:r>
        <w:rPr>
          <w:sz w:val="20"/>
        </w:rPr>
        <w:t>as</w:t>
      </w:r>
      <w:r>
        <w:rPr>
          <w:spacing w:val="-13"/>
          <w:sz w:val="20"/>
        </w:rPr>
        <w:t xml:space="preserve"> </w:t>
      </w:r>
      <w:r>
        <w:rPr>
          <w:sz w:val="20"/>
        </w:rPr>
        <w:t>defined</w:t>
      </w:r>
      <w:r>
        <w:rPr>
          <w:spacing w:val="-12"/>
          <w:sz w:val="20"/>
        </w:rPr>
        <w:t xml:space="preserve"> </w:t>
      </w:r>
      <w:r>
        <w:rPr>
          <w:sz w:val="20"/>
        </w:rPr>
        <w:t>by</w:t>
      </w:r>
      <w:r>
        <w:rPr>
          <w:spacing w:val="-12"/>
          <w:sz w:val="20"/>
        </w:rPr>
        <w:t xml:space="preserve"> </w:t>
      </w:r>
      <w:r>
        <w:rPr>
          <w:sz w:val="20"/>
        </w:rPr>
        <w:t>the</w:t>
      </w:r>
      <w:r>
        <w:rPr>
          <w:spacing w:val="-13"/>
          <w:sz w:val="20"/>
        </w:rPr>
        <w:t xml:space="preserve"> </w:t>
      </w:r>
      <w:r>
        <w:rPr>
          <w:sz w:val="20"/>
        </w:rPr>
        <w:t>latest</w:t>
      </w:r>
      <w:r>
        <w:rPr>
          <w:spacing w:val="-14"/>
          <w:sz w:val="20"/>
        </w:rPr>
        <w:t xml:space="preserve"> </w:t>
      </w:r>
      <w:r>
        <w:rPr>
          <w:sz w:val="20"/>
        </w:rPr>
        <w:t>version</w:t>
      </w:r>
      <w:r>
        <w:rPr>
          <w:spacing w:val="-12"/>
          <w:sz w:val="20"/>
        </w:rPr>
        <w:t xml:space="preserve"> </w:t>
      </w:r>
      <w:r>
        <w:rPr>
          <w:sz w:val="20"/>
        </w:rPr>
        <w:t>of</w:t>
      </w:r>
      <w:r>
        <w:rPr>
          <w:spacing w:val="-13"/>
          <w:sz w:val="20"/>
        </w:rPr>
        <w:t xml:space="preserve"> </w:t>
      </w:r>
      <w:r>
        <w:rPr>
          <w:sz w:val="20"/>
        </w:rPr>
        <w:t>SAE</w:t>
      </w:r>
      <w:r>
        <w:rPr>
          <w:spacing w:val="6"/>
          <w:sz w:val="20"/>
        </w:rPr>
        <w:t xml:space="preserve"> </w:t>
      </w:r>
      <w:r>
        <w:rPr>
          <w:sz w:val="20"/>
        </w:rPr>
        <w:t>J183,</w:t>
      </w:r>
      <w:r>
        <w:rPr>
          <w:spacing w:val="-13"/>
          <w:sz w:val="20"/>
        </w:rPr>
        <w:t xml:space="preserve"> </w:t>
      </w:r>
      <w:r>
        <w:rPr>
          <w:sz w:val="20"/>
        </w:rPr>
        <w:t>“Engine</w:t>
      </w:r>
      <w:r>
        <w:rPr>
          <w:spacing w:val="-13"/>
          <w:sz w:val="20"/>
        </w:rPr>
        <w:t xml:space="preserve"> </w:t>
      </w:r>
      <w:r>
        <w:rPr>
          <w:sz w:val="20"/>
        </w:rPr>
        <w:t>Oil</w:t>
      </w:r>
      <w:r>
        <w:rPr>
          <w:spacing w:val="-13"/>
          <w:sz w:val="20"/>
        </w:rPr>
        <w:t xml:space="preserve"> </w:t>
      </w:r>
      <w:r>
        <w:rPr>
          <w:sz w:val="20"/>
        </w:rPr>
        <w:t>Performance and</w:t>
      </w:r>
      <w:r>
        <w:rPr>
          <w:spacing w:val="32"/>
          <w:sz w:val="20"/>
        </w:rPr>
        <w:t xml:space="preserve"> </w:t>
      </w:r>
      <w:r>
        <w:rPr>
          <w:sz w:val="20"/>
        </w:rPr>
        <w:t>Engine</w:t>
      </w:r>
      <w:r>
        <w:rPr>
          <w:spacing w:val="32"/>
          <w:sz w:val="20"/>
        </w:rPr>
        <w:t xml:space="preserve"> </w:t>
      </w:r>
      <w:r>
        <w:rPr>
          <w:sz w:val="20"/>
        </w:rPr>
        <w:t>Service</w:t>
      </w:r>
      <w:r>
        <w:rPr>
          <w:spacing w:val="32"/>
          <w:sz w:val="20"/>
        </w:rPr>
        <w:t xml:space="preserve"> </w:t>
      </w:r>
      <w:r>
        <w:rPr>
          <w:sz w:val="20"/>
        </w:rPr>
        <w:t>Classification</w:t>
      </w:r>
      <w:r>
        <w:rPr>
          <w:spacing w:val="33"/>
          <w:sz w:val="20"/>
        </w:rPr>
        <w:t xml:space="preserve"> </w:t>
      </w:r>
      <w:r>
        <w:rPr>
          <w:sz w:val="20"/>
        </w:rPr>
        <w:t>(Other</w:t>
      </w:r>
      <w:r>
        <w:rPr>
          <w:spacing w:val="32"/>
          <w:sz w:val="20"/>
        </w:rPr>
        <w:t xml:space="preserve"> </w:t>
      </w:r>
      <w:r>
        <w:rPr>
          <w:sz w:val="20"/>
        </w:rPr>
        <w:t>than</w:t>
      </w:r>
      <w:r>
        <w:rPr>
          <w:spacing w:val="33"/>
          <w:sz w:val="20"/>
        </w:rPr>
        <w:t xml:space="preserve"> </w:t>
      </w:r>
      <w:r>
        <w:rPr>
          <w:sz w:val="20"/>
        </w:rPr>
        <w:t>“Energy</w:t>
      </w:r>
      <w:r>
        <w:rPr>
          <w:spacing w:val="33"/>
          <w:sz w:val="20"/>
        </w:rPr>
        <w:t xml:space="preserve"> </w:t>
      </w:r>
      <w:r>
        <w:rPr>
          <w:sz w:val="20"/>
        </w:rPr>
        <w:t>Conserving”)</w:t>
      </w:r>
      <w:r>
        <w:rPr>
          <w:b/>
          <w:strike/>
          <w:sz w:val="20"/>
        </w:rPr>
        <w:t>.</w:t>
      </w:r>
      <w:r>
        <w:rPr>
          <w:b/>
          <w:strike/>
          <w:sz w:val="20"/>
          <w:u w:val="single"/>
        </w:rPr>
        <w:t>.</w:t>
      </w:r>
      <w:r>
        <w:rPr>
          <w:b/>
          <w:sz w:val="20"/>
          <w:u w:val="single"/>
        </w:rPr>
        <w:t>,”</w:t>
      </w:r>
      <w:r>
        <w:rPr>
          <w:b/>
          <w:spacing w:val="33"/>
          <w:sz w:val="20"/>
          <w:u w:val="single"/>
        </w:rPr>
        <w:t xml:space="preserve"> </w:t>
      </w:r>
      <w:r>
        <w:rPr>
          <w:b/>
          <w:sz w:val="20"/>
          <w:u w:val="single"/>
        </w:rPr>
        <w:t>API</w:t>
      </w:r>
      <w:r>
        <w:rPr>
          <w:b/>
          <w:spacing w:val="31"/>
          <w:sz w:val="20"/>
          <w:u w:val="single"/>
        </w:rPr>
        <w:t xml:space="preserve"> </w:t>
      </w:r>
      <w:r>
        <w:rPr>
          <w:b/>
          <w:sz w:val="20"/>
          <w:u w:val="single"/>
        </w:rPr>
        <w:t>Publication</w:t>
      </w:r>
      <w:r>
        <w:rPr>
          <w:b/>
          <w:spacing w:val="1"/>
          <w:sz w:val="20"/>
          <w:u w:val="single"/>
        </w:rPr>
        <w:t xml:space="preserve"> </w:t>
      </w:r>
      <w:r>
        <w:rPr>
          <w:b/>
          <w:sz w:val="20"/>
          <w:u w:val="single"/>
        </w:rPr>
        <w:t>1509,</w:t>
      </w:r>
      <w:r>
        <w:rPr>
          <w:b/>
          <w:spacing w:val="29"/>
          <w:sz w:val="20"/>
          <w:u w:val="single"/>
        </w:rPr>
        <w:t xml:space="preserve"> </w:t>
      </w:r>
      <w:r>
        <w:rPr>
          <w:b/>
          <w:sz w:val="20"/>
          <w:u w:val="single"/>
        </w:rPr>
        <w:t>“En</w:t>
      </w:r>
      <w:r>
        <w:rPr>
          <w:b/>
          <w:sz w:val="20"/>
        </w:rPr>
        <w:t>g</w:t>
      </w:r>
      <w:r>
        <w:rPr>
          <w:b/>
          <w:sz w:val="20"/>
          <w:u w:val="single"/>
        </w:rPr>
        <w:t>in</w:t>
      </w:r>
      <w:r>
        <w:rPr>
          <w:b/>
          <w:sz w:val="20"/>
        </w:rPr>
        <w:t>e</w:t>
      </w:r>
      <w:r>
        <w:rPr>
          <w:b/>
          <w:spacing w:val="32"/>
          <w:sz w:val="20"/>
        </w:rPr>
        <w:t xml:space="preserve"> </w:t>
      </w:r>
      <w:r>
        <w:rPr>
          <w:b/>
          <w:sz w:val="20"/>
        </w:rPr>
        <w:t>O</w:t>
      </w:r>
      <w:r>
        <w:rPr>
          <w:b/>
          <w:sz w:val="20"/>
          <w:u w:val="single"/>
        </w:rPr>
        <w:t>i</w:t>
      </w:r>
      <w:r>
        <w:rPr>
          <w:b/>
          <w:sz w:val="20"/>
        </w:rPr>
        <w:t>l</w:t>
      </w:r>
    </w:p>
    <w:p w14:paraId="66FE5A91" w14:textId="77777777" w:rsidR="00ED0D76" w:rsidRDefault="00ED0D76" w:rsidP="00ED0D76">
      <w:pPr>
        <w:pStyle w:val="TableParagraph"/>
        <w:spacing w:line="228" w:lineRule="exact"/>
        <w:rPr>
          <w:b/>
          <w:sz w:val="20"/>
        </w:rPr>
      </w:pPr>
      <w:r>
        <w:rPr>
          <w:spacing w:val="-50"/>
          <w:w w:val="99"/>
          <w:sz w:val="20"/>
          <w:u w:val="double"/>
        </w:rPr>
        <w:t xml:space="preserve"> </w:t>
      </w:r>
      <w:r>
        <w:rPr>
          <w:b/>
          <w:sz w:val="20"/>
          <w:u w:val="double"/>
        </w:rPr>
        <w:t>L</w:t>
      </w:r>
      <w:r>
        <w:rPr>
          <w:b/>
          <w:sz w:val="20"/>
          <w:u w:val="single"/>
        </w:rPr>
        <w:t>ic</w:t>
      </w:r>
      <w:r>
        <w:rPr>
          <w:b/>
          <w:sz w:val="20"/>
        </w:rPr>
        <w:t>ens</w:t>
      </w:r>
      <w:r>
        <w:rPr>
          <w:b/>
          <w:sz w:val="20"/>
          <w:u w:val="single"/>
        </w:rPr>
        <w:t>i</w:t>
      </w:r>
      <w:r>
        <w:rPr>
          <w:b/>
          <w:sz w:val="20"/>
        </w:rPr>
        <w:t>ng   a</w:t>
      </w:r>
      <w:r>
        <w:rPr>
          <w:b/>
          <w:sz w:val="20"/>
          <w:u w:val="single"/>
        </w:rPr>
        <w:t>n</w:t>
      </w:r>
      <w:r>
        <w:rPr>
          <w:b/>
          <w:sz w:val="20"/>
        </w:rPr>
        <w:t xml:space="preserve">d   </w:t>
      </w:r>
      <w:r>
        <w:rPr>
          <w:b/>
          <w:sz w:val="20"/>
          <w:u w:val="single"/>
        </w:rPr>
        <w:t>Ce</w:t>
      </w:r>
      <w:r>
        <w:rPr>
          <w:b/>
          <w:sz w:val="20"/>
        </w:rPr>
        <w:t>rt</w:t>
      </w:r>
      <w:r>
        <w:rPr>
          <w:b/>
          <w:sz w:val="20"/>
          <w:u w:val="single"/>
        </w:rPr>
        <w:t>i</w:t>
      </w:r>
      <w:r>
        <w:rPr>
          <w:b/>
          <w:sz w:val="20"/>
        </w:rPr>
        <w:t>f</w:t>
      </w:r>
      <w:r>
        <w:rPr>
          <w:b/>
          <w:sz w:val="20"/>
          <w:u w:val="single"/>
        </w:rPr>
        <w:t>ic</w:t>
      </w:r>
      <w:r>
        <w:rPr>
          <w:b/>
          <w:sz w:val="20"/>
        </w:rPr>
        <w:t xml:space="preserve">ation   </w:t>
      </w:r>
      <w:r>
        <w:rPr>
          <w:b/>
          <w:sz w:val="20"/>
          <w:u w:val="single"/>
        </w:rPr>
        <w:t>S</w:t>
      </w:r>
      <w:r>
        <w:rPr>
          <w:b/>
          <w:sz w:val="20"/>
        </w:rPr>
        <w:t>yst</w:t>
      </w:r>
      <w:r>
        <w:rPr>
          <w:b/>
          <w:sz w:val="20"/>
          <w:u w:val="single"/>
        </w:rPr>
        <w:t>e</w:t>
      </w:r>
      <w:r>
        <w:rPr>
          <w:b/>
          <w:sz w:val="20"/>
        </w:rPr>
        <w:t>m,”   E</w:t>
      </w:r>
      <w:r>
        <w:rPr>
          <w:b/>
          <w:sz w:val="20"/>
          <w:u w:val="single"/>
        </w:rPr>
        <w:t>ur</w:t>
      </w:r>
      <w:r>
        <w:rPr>
          <w:b/>
          <w:sz w:val="20"/>
        </w:rPr>
        <w:t>o</w:t>
      </w:r>
      <w:r>
        <w:rPr>
          <w:b/>
          <w:sz w:val="20"/>
          <w:u w:val="single"/>
        </w:rPr>
        <w:t>pe</w:t>
      </w:r>
      <w:r>
        <w:rPr>
          <w:b/>
          <w:sz w:val="20"/>
        </w:rPr>
        <w:t xml:space="preserve">an   </w:t>
      </w:r>
      <w:r>
        <w:rPr>
          <w:b/>
          <w:sz w:val="20"/>
          <w:u w:val="single"/>
        </w:rPr>
        <w:t>A</w:t>
      </w:r>
      <w:r>
        <w:rPr>
          <w:b/>
          <w:sz w:val="20"/>
        </w:rPr>
        <w:t>utomobile   Manufa</w:t>
      </w:r>
      <w:r>
        <w:rPr>
          <w:b/>
          <w:sz w:val="20"/>
          <w:u w:val="single"/>
        </w:rPr>
        <w:t>c</w:t>
      </w:r>
      <w:r>
        <w:rPr>
          <w:b/>
          <w:sz w:val="20"/>
        </w:rPr>
        <w:t>t</w:t>
      </w:r>
      <w:r>
        <w:rPr>
          <w:b/>
          <w:sz w:val="20"/>
          <w:u w:val="single"/>
        </w:rPr>
        <w:t>ur</w:t>
      </w:r>
      <w:r>
        <w:rPr>
          <w:b/>
          <w:sz w:val="20"/>
        </w:rPr>
        <w:t>ers   Asso</w:t>
      </w:r>
      <w:r>
        <w:rPr>
          <w:b/>
          <w:sz w:val="20"/>
          <w:u w:val="single"/>
        </w:rPr>
        <w:t>ci</w:t>
      </w:r>
      <w:r>
        <w:rPr>
          <w:b/>
          <w:sz w:val="20"/>
        </w:rPr>
        <w:t>at</w:t>
      </w:r>
      <w:r>
        <w:rPr>
          <w:b/>
          <w:sz w:val="20"/>
          <w:u w:val="single"/>
        </w:rPr>
        <w:t>i</w:t>
      </w:r>
      <w:r>
        <w:rPr>
          <w:b/>
          <w:sz w:val="20"/>
        </w:rPr>
        <w:t xml:space="preserve">on  </w:t>
      </w:r>
      <w:r>
        <w:rPr>
          <w:b/>
          <w:spacing w:val="39"/>
          <w:sz w:val="20"/>
        </w:rPr>
        <w:t xml:space="preserve"> </w:t>
      </w:r>
      <w:r>
        <w:rPr>
          <w:b/>
          <w:sz w:val="20"/>
        </w:rPr>
        <w:t>(</w:t>
      </w:r>
      <w:r>
        <w:rPr>
          <w:b/>
          <w:sz w:val="20"/>
          <w:u w:val="single"/>
        </w:rPr>
        <w:t>ACEA)</w:t>
      </w:r>
      <w:r>
        <w:rPr>
          <w:b/>
          <w:sz w:val="20"/>
        </w:rPr>
        <w:t>,</w:t>
      </w:r>
    </w:p>
    <w:p w14:paraId="46E56A7C" w14:textId="77777777" w:rsidR="00ED0D76" w:rsidRDefault="00ED0D76" w:rsidP="00ED0D76">
      <w:pPr>
        <w:pStyle w:val="TableParagraph"/>
        <w:ind w:right="92"/>
        <w:jc w:val="both"/>
        <w:rPr>
          <w:b/>
          <w:sz w:val="20"/>
        </w:rPr>
      </w:pPr>
      <w:r>
        <w:rPr>
          <w:spacing w:val="-50"/>
          <w:w w:val="99"/>
          <w:sz w:val="20"/>
          <w:u w:val="double"/>
        </w:rPr>
        <w:t xml:space="preserve"> </w:t>
      </w:r>
      <w:r>
        <w:rPr>
          <w:b/>
          <w:sz w:val="20"/>
          <w:u w:val="double"/>
        </w:rPr>
        <w:t>“E</w:t>
      </w:r>
      <w:r>
        <w:rPr>
          <w:b/>
          <w:sz w:val="20"/>
          <w:u w:val="single"/>
        </w:rPr>
        <w:t>ur</w:t>
      </w:r>
      <w:r>
        <w:rPr>
          <w:b/>
          <w:sz w:val="20"/>
        </w:rPr>
        <w:t>o</w:t>
      </w:r>
      <w:r>
        <w:rPr>
          <w:b/>
          <w:sz w:val="20"/>
          <w:u w:val="single"/>
        </w:rPr>
        <w:t>pe</w:t>
      </w:r>
      <w:r>
        <w:rPr>
          <w:b/>
          <w:sz w:val="20"/>
        </w:rPr>
        <w:t>an O</w:t>
      </w:r>
      <w:r>
        <w:rPr>
          <w:b/>
          <w:sz w:val="20"/>
          <w:u w:val="single"/>
        </w:rPr>
        <w:t>i</w:t>
      </w:r>
      <w:r>
        <w:rPr>
          <w:b/>
          <w:sz w:val="20"/>
        </w:rPr>
        <w:t xml:space="preserve">l </w:t>
      </w:r>
      <w:r>
        <w:rPr>
          <w:b/>
          <w:sz w:val="20"/>
          <w:u w:val="single"/>
        </w:rPr>
        <w:t>S</w:t>
      </w:r>
      <w:r>
        <w:rPr>
          <w:b/>
          <w:sz w:val="20"/>
        </w:rPr>
        <w:t>eq</w:t>
      </w:r>
      <w:r>
        <w:rPr>
          <w:b/>
          <w:sz w:val="20"/>
          <w:u w:val="single"/>
        </w:rPr>
        <w:t>uences</w:t>
      </w:r>
      <w:r>
        <w:rPr>
          <w:b/>
          <w:sz w:val="20"/>
        </w:rPr>
        <w:t>,” or ot</w:t>
      </w:r>
      <w:r>
        <w:rPr>
          <w:b/>
          <w:sz w:val="20"/>
          <w:u w:val="single"/>
        </w:rPr>
        <w:t>he</w:t>
      </w:r>
      <w:r>
        <w:rPr>
          <w:b/>
          <w:sz w:val="20"/>
        </w:rPr>
        <w:t xml:space="preserve">r </w:t>
      </w:r>
      <w:r>
        <w:rPr>
          <w:b/>
          <w:sz w:val="20"/>
          <w:u w:val="single"/>
        </w:rPr>
        <w:t>Vehicl</w:t>
      </w:r>
      <w:r>
        <w:rPr>
          <w:b/>
          <w:sz w:val="20"/>
        </w:rPr>
        <w:t>e or E</w:t>
      </w:r>
      <w:r>
        <w:rPr>
          <w:b/>
          <w:sz w:val="20"/>
          <w:u w:val="single"/>
        </w:rPr>
        <w:t>n</w:t>
      </w:r>
      <w:r>
        <w:rPr>
          <w:b/>
          <w:sz w:val="20"/>
        </w:rPr>
        <w:t>g</w:t>
      </w:r>
      <w:r>
        <w:rPr>
          <w:b/>
          <w:sz w:val="20"/>
          <w:u w:val="single"/>
        </w:rPr>
        <w:t>in</w:t>
      </w:r>
      <w:r>
        <w:rPr>
          <w:b/>
          <w:sz w:val="20"/>
        </w:rPr>
        <w:t>e Manufa</w:t>
      </w:r>
      <w:r>
        <w:rPr>
          <w:b/>
          <w:sz w:val="20"/>
          <w:u w:val="single"/>
        </w:rPr>
        <w:t>c</w:t>
      </w:r>
      <w:r>
        <w:rPr>
          <w:b/>
          <w:sz w:val="20"/>
        </w:rPr>
        <w:t>t</w:t>
      </w:r>
      <w:r>
        <w:rPr>
          <w:b/>
          <w:sz w:val="20"/>
          <w:u w:val="single"/>
        </w:rPr>
        <w:t>ur</w:t>
      </w:r>
      <w:r>
        <w:rPr>
          <w:b/>
          <w:sz w:val="20"/>
        </w:rPr>
        <w:t>er standa</w:t>
      </w:r>
      <w:r>
        <w:rPr>
          <w:b/>
          <w:sz w:val="20"/>
          <w:u w:val="single"/>
        </w:rPr>
        <w:t>rd</w:t>
      </w:r>
      <w:r>
        <w:rPr>
          <w:b/>
          <w:sz w:val="20"/>
        </w:rPr>
        <w:t>s as app</w:t>
      </w:r>
      <w:r>
        <w:rPr>
          <w:b/>
          <w:sz w:val="20"/>
          <w:u w:val="single"/>
        </w:rPr>
        <w:t>r</w:t>
      </w:r>
      <w:r>
        <w:rPr>
          <w:b/>
          <w:sz w:val="20"/>
        </w:rPr>
        <w:t>ov</w:t>
      </w:r>
      <w:r>
        <w:rPr>
          <w:b/>
          <w:sz w:val="20"/>
          <w:u w:val="single"/>
        </w:rPr>
        <w:t>e</w:t>
      </w:r>
      <w:r>
        <w:rPr>
          <w:b/>
          <w:sz w:val="20"/>
        </w:rPr>
        <w:t xml:space="preserve">d </w:t>
      </w:r>
      <w:r>
        <w:rPr>
          <w:b/>
          <w:sz w:val="20"/>
          <w:u w:val="single"/>
        </w:rPr>
        <w:t>i</w:t>
      </w:r>
      <w:r>
        <w:rPr>
          <w:b/>
          <w:sz w:val="20"/>
        </w:rPr>
        <w:t xml:space="preserve">n Section </w:t>
      </w:r>
      <w:r>
        <w:rPr>
          <w:b/>
          <w:sz w:val="20"/>
          <w:u w:val="double"/>
        </w:rPr>
        <w:t>2.33.1.3.1., the front or forward facing-label of such vehicle engine (motor) oil container, receptacle,</w:t>
      </w:r>
      <w:r>
        <w:rPr>
          <w:b/>
          <w:sz w:val="20"/>
        </w:rPr>
        <w:t xml:space="preserve"> </w:t>
      </w:r>
      <w:r>
        <w:rPr>
          <w:b/>
          <w:sz w:val="20"/>
          <w:u w:val="single"/>
        </w:rPr>
        <w:t>dispenser, or storage tank and the invoice or receipt from service on an engine that includes the installation</w:t>
      </w:r>
      <w:r>
        <w:rPr>
          <w:b/>
          <w:sz w:val="20"/>
        </w:rPr>
        <w:t xml:space="preserve"> </w:t>
      </w:r>
      <w:r>
        <w:rPr>
          <w:b/>
          <w:sz w:val="20"/>
          <w:u w:val="single"/>
        </w:rPr>
        <w:t>of bulk vehicle engine (motor) oil dispensed from a receptacle, dispenser, or storage tank shall bear the</w:t>
      </w:r>
      <w:r>
        <w:rPr>
          <w:b/>
          <w:sz w:val="20"/>
        </w:rPr>
        <w:t xml:space="preserve"> </w:t>
      </w:r>
      <w:r>
        <w:rPr>
          <w:b/>
          <w:sz w:val="20"/>
          <w:u w:val="single"/>
        </w:rPr>
        <w:t>plainly-visible, cautionary statement set forth in the latest version of SAE J183, Appendix A. Whenever</w:t>
      </w:r>
      <w:r>
        <w:rPr>
          <w:b/>
          <w:spacing w:val="-36"/>
          <w:sz w:val="20"/>
          <w:u w:val="single"/>
        </w:rPr>
        <w:t xml:space="preserve"> </w:t>
      </w:r>
      <w:r>
        <w:rPr>
          <w:b/>
          <w:sz w:val="20"/>
          <w:u w:val="single"/>
        </w:rPr>
        <w:t>any</w:t>
      </w:r>
      <w:r>
        <w:rPr>
          <w:b/>
          <w:sz w:val="20"/>
        </w:rPr>
        <w:t xml:space="preserve"> </w:t>
      </w:r>
      <w:r>
        <w:rPr>
          <w:b/>
          <w:sz w:val="20"/>
          <w:u w:val="single"/>
        </w:rPr>
        <w:t>vehicle engine (motor) oil is declared obsolete by a vehicle or engine manufacturer, the front or forward-</w:t>
      </w:r>
      <w:r>
        <w:rPr>
          <w:b/>
          <w:sz w:val="20"/>
        </w:rPr>
        <w:t xml:space="preserve"> </w:t>
      </w:r>
      <w:r>
        <w:rPr>
          <w:b/>
          <w:sz w:val="20"/>
          <w:u w:val="single"/>
        </w:rPr>
        <w:t>facing</w:t>
      </w:r>
      <w:r>
        <w:rPr>
          <w:b/>
          <w:spacing w:val="-13"/>
          <w:sz w:val="20"/>
          <w:u w:val="single"/>
        </w:rPr>
        <w:t xml:space="preserve"> </w:t>
      </w:r>
      <w:r>
        <w:rPr>
          <w:b/>
          <w:sz w:val="20"/>
          <w:u w:val="single"/>
        </w:rPr>
        <w:t>label</w:t>
      </w:r>
      <w:r>
        <w:rPr>
          <w:b/>
          <w:spacing w:val="-13"/>
          <w:sz w:val="20"/>
          <w:u w:val="single"/>
        </w:rPr>
        <w:t xml:space="preserve"> </w:t>
      </w:r>
      <w:r>
        <w:rPr>
          <w:b/>
          <w:sz w:val="20"/>
          <w:u w:val="single"/>
        </w:rPr>
        <w:t>of</w:t>
      </w:r>
      <w:r>
        <w:rPr>
          <w:b/>
          <w:spacing w:val="-13"/>
          <w:sz w:val="20"/>
          <w:u w:val="single"/>
        </w:rPr>
        <w:t xml:space="preserve"> </w:t>
      </w:r>
      <w:r>
        <w:rPr>
          <w:b/>
          <w:sz w:val="20"/>
          <w:u w:val="single"/>
        </w:rPr>
        <w:t>such</w:t>
      </w:r>
      <w:r>
        <w:rPr>
          <w:b/>
          <w:spacing w:val="-13"/>
          <w:sz w:val="20"/>
          <w:u w:val="single"/>
        </w:rPr>
        <w:t xml:space="preserve"> </w:t>
      </w:r>
      <w:r>
        <w:rPr>
          <w:b/>
          <w:sz w:val="20"/>
          <w:u w:val="single"/>
        </w:rPr>
        <w:t>vehicle</w:t>
      </w:r>
      <w:r>
        <w:rPr>
          <w:b/>
          <w:spacing w:val="-14"/>
          <w:sz w:val="20"/>
          <w:u w:val="single"/>
        </w:rPr>
        <w:t xml:space="preserve"> </w:t>
      </w:r>
      <w:r>
        <w:rPr>
          <w:b/>
          <w:sz w:val="20"/>
          <w:u w:val="single"/>
        </w:rPr>
        <w:t>engine</w:t>
      </w:r>
      <w:r>
        <w:rPr>
          <w:b/>
          <w:spacing w:val="-13"/>
          <w:sz w:val="20"/>
          <w:u w:val="single"/>
        </w:rPr>
        <w:t xml:space="preserve"> </w:t>
      </w:r>
      <w:r>
        <w:rPr>
          <w:b/>
          <w:sz w:val="20"/>
          <w:u w:val="single"/>
        </w:rPr>
        <w:t>(motor)</w:t>
      </w:r>
      <w:r>
        <w:rPr>
          <w:b/>
          <w:spacing w:val="-12"/>
          <w:sz w:val="20"/>
          <w:u w:val="single"/>
        </w:rPr>
        <w:t xml:space="preserve"> </w:t>
      </w:r>
      <w:r>
        <w:rPr>
          <w:b/>
          <w:sz w:val="20"/>
          <w:u w:val="single"/>
        </w:rPr>
        <w:t>oil</w:t>
      </w:r>
      <w:r>
        <w:rPr>
          <w:b/>
          <w:spacing w:val="-14"/>
          <w:sz w:val="20"/>
          <w:u w:val="single"/>
        </w:rPr>
        <w:t xml:space="preserve"> </w:t>
      </w:r>
      <w:r>
        <w:rPr>
          <w:b/>
          <w:sz w:val="20"/>
          <w:u w:val="single"/>
        </w:rPr>
        <w:t>container,</w:t>
      </w:r>
      <w:r>
        <w:rPr>
          <w:b/>
          <w:spacing w:val="-12"/>
          <w:sz w:val="20"/>
          <w:u w:val="single"/>
        </w:rPr>
        <w:t xml:space="preserve"> </w:t>
      </w:r>
      <w:r>
        <w:rPr>
          <w:b/>
          <w:sz w:val="20"/>
          <w:u w:val="single"/>
        </w:rPr>
        <w:t>receptacle,</w:t>
      </w:r>
      <w:r>
        <w:rPr>
          <w:b/>
          <w:spacing w:val="-13"/>
          <w:sz w:val="20"/>
          <w:u w:val="single"/>
        </w:rPr>
        <w:t xml:space="preserve"> </w:t>
      </w:r>
      <w:r>
        <w:rPr>
          <w:b/>
          <w:sz w:val="20"/>
          <w:u w:val="single"/>
        </w:rPr>
        <w:t>dispenser,</w:t>
      </w:r>
      <w:r>
        <w:rPr>
          <w:b/>
          <w:spacing w:val="-13"/>
          <w:sz w:val="20"/>
          <w:u w:val="single"/>
        </w:rPr>
        <w:t xml:space="preserve"> </w:t>
      </w:r>
      <w:r>
        <w:rPr>
          <w:b/>
          <w:sz w:val="20"/>
          <w:u w:val="single"/>
        </w:rPr>
        <w:t>or</w:t>
      </w:r>
      <w:r>
        <w:rPr>
          <w:b/>
          <w:spacing w:val="-14"/>
          <w:sz w:val="20"/>
          <w:u w:val="single"/>
        </w:rPr>
        <w:t xml:space="preserve"> </w:t>
      </w:r>
      <w:r>
        <w:rPr>
          <w:b/>
          <w:sz w:val="20"/>
          <w:u w:val="single"/>
        </w:rPr>
        <w:t>storage</w:t>
      </w:r>
      <w:r>
        <w:rPr>
          <w:b/>
          <w:spacing w:val="-13"/>
          <w:sz w:val="20"/>
          <w:u w:val="single"/>
        </w:rPr>
        <w:t xml:space="preserve"> </w:t>
      </w:r>
      <w:r>
        <w:rPr>
          <w:b/>
          <w:sz w:val="20"/>
          <w:u w:val="single"/>
        </w:rPr>
        <w:t>tank</w:t>
      </w:r>
      <w:r>
        <w:rPr>
          <w:b/>
          <w:spacing w:val="-14"/>
          <w:sz w:val="20"/>
          <w:u w:val="single"/>
        </w:rPr>
        <w:t xml:space="preserve"> </w:t>
      </w:r>
      <w:r>
        <w:rPr>
          <w:b/>
          <w:sz w:val="20"/>
          <w:u w:val="single"/>
        </w:rPr>
        <w:t>and</w:t>
      </w:r>
      <w:r>
        <w:rPr>
          <w:b/>
          <w:spacing w:val="-15"/>
          <w:sz w:val="20"/>
          <w:u w:val="single"/>
        </w:rPr>
        <w:t xml:space="preserve"> </w:t>
      </w:r>
      <w:r>
        <w:rPr>
          <w:b/>
          <w:sz w:val="20"/>
          <w:u w:val="single"/>
        </w:rPr>
        <w:t>the</w:t>
      </w:r>
      <w:r>
        <w:rPr>
          <w:b/>
          <w:spacing w:val="-13"/>
          <w:sz w:val="20"/>
          <w:u w:val="single"/>
        </w:rPr>
        <w:t xml:space="preserve"> </w:t>
      </w:r>
      <w:r>
        <w:rPr>
          <w:b/>
          <w:sz w:val="20"/>
          <w:u w:val="single"/>
        </w:rPr>
        <w:t>invoice</w:t>
      </w:r>
      <w:r>
        <w:rPr>
          <w:b/>
          <w:sz w:val="20"/>
        </w:rPr>
        <w:t xml:space="preserve"> </w:t>
      </w:r>
      <w:r>
        <w:rPr>
          <w:b/>
          <w:sz w:val="20"/>
          <w:u w:val="single"/>
        </w:rPr>
        <w:t>or</w:t>
      </w:r>
      <w:r>
        <w:rPr>
          <w:b/>
          <w:spacing w:val="-11"/>
          <w:sz w:val="20"/>
          <w:u w:val="single"/>
        </w:rPr>
        <w:t xml:space="preserve"> </w:t>
      </w:r>
      <w:r>
        <w:rPr>
          <w:b/>
          <w:sz w:val="20"/>
          <w:u w:val="single"/>
        </w:rPr>
        <w:t>receipt</w:t>
      </w:r>
      <w:r>
        <w:rPr>
          <w:b/>
          <w:spacing w:val="-10"/>
          <w:sz w:val="20"/>
          <w:u w:val="single"/>
        </w:rPr>
        <w:t xml:space="preserve"> </w:t>
      </w:r>
      <w:r>
        <w:rPr>
          <w:b/>
          <w:sz w:val="20"/>
          <w:u w:val="single"/>
        </w:rPr>
        <w:t>from</w:t>
      </w:r>
      <w:r>
        <w:rPr>
          <w:b/>
          <w:spacing w:val="-9"/>
          <w:sz w:val="20"/>
          <w:u w:val="single"/>
        </w:rPr>
        <w:t xml:space="preserve"> </w:t>
      </w:r>
      <w:r>
        <w:rPr>
          <w:b/>
          <w:sz w:val="20"/>
          <w:u w:val="single"/>
        </w:rPr>
        <w:t>service</w:t>
      </w:r>
      <w:r>
        <w:rPr>
          <w:b/>
          <w:spacing w:val="-11"/>
          <w:sz w:val="20"/>
          <w:u w:val="single"/>
        </w:rPr>
        <w:t xml:space="preserve"> </w:t>
      </w:r>
      <w:r>
        <w:rPr>
          <w:b/>
          <w:sz w:val="20"/>
          <w:u w:val="single"/>
        </w:rPr>
        <w:t>on</w:t>
      </w:r>
      <w:r>
        <w:rPr>
          <w:b/>
          <w:spacing w:val="-11"/>
          <w:sz w:val="20"/>
          <w:u w:val="single"/>
        </w:rPr>
        <w:t xml:space="preserve"> </w:t>
      </w:r>
      <w:r>
        <w:rPr>
          <w:b/>
          <w:sz w:val="20"/>
          <w:u w:val="single"/>
        </w:rPr>
        <w:t>an</w:t>
      </w:r>
      <w:r>
        <w:rPr>
          <w:b/>
          <w:spacing w:val="-11"/>
          <w:sz w:val="20"/>
          <w:u w:val="single"/>
        </w:rPr>
        <w:t xml:space="preserve"> </w:t>
      </w:r>
      <w:r>
        <w:rPr>
          <w:b/>
          <w:sz w:val="20"/>
          <w:u w:val="single"/>
        </w:rPr>
        <w:t>engine</w:t>
      </w:r>
      <w:r>
        <w:rPr>
          <w:b/>
          <w:spacing w:val="-12"/>
          <w:sz w:val="20"/>
          <w:u w:val="single"/>
        </w:rPr>
        <w:t xml:space="preserve"> </w:t>
      </w:r>
      <w:r>
        <w:rPr>
          <w:b/>
          <w:sz w:val="20"/>
          <w:u w:val="single"/>
        </w:rPr>
        <w:t>that</w:t>
      </w:r>
      <w:r>
        <w:rPr>
          <w:b/>
          <w:spacing w:val="-10"/>
          <w:sz w:val="20"/>
          <w:u w:val="single"/>
        </w:rPr>
        <w:t xml:space="preserve"> </w:t>
      </w:r>
      <w:r>
        <w:rPr>
          <w:b/>
          <w:sz w:val="20"/>
          <w:u w:val="single"/>
        </w:rPr>
        <w:t>includes</w:t>
      </w:r>
      <w:r>
        <w:rPr>
          <w:b/>
          <w:spacing w:val="-9"/>
          <w:sz w:val="20"/>
          <w:u w:val="single"/>
        </w:rPr>
        <w:t xml:space="preserve"> </w:t>
      </w:r>
      <w:r>
        <w:rPr>
          <w:b/>
          <w:sz w:val="20"/>
          <w:u w:val="single"/>
        </w:rPr>
        <w:t>the</w:t>
      </w:r>
      <w:r>
        <w:rPr>
          <w:b/>
          <w:spacing w:val="-12"/>
          <w:sz w:val="20"/>
          <w:u w:val="single"/>
        </w:rPr>
        <w:t xml:space="preserve"> </w:t>
      </w:r>
      <w:r>
        <w:rPr>
          <w:b/>
          <w:sz w:val="20"/>
          <w:u w:val="single"/>
        </w:rPr>
        <w:t>installation</w:t>
      </w:r>
      <w:r>
        <w:rPr>
          <w:b/>
          <w:spacing w:val="-11"/>
          <w:sz w:val="20"/>
          <w:u w:val="single"/>
        </w:rPr>
        <w:t xml:space="preserve"> </w:t>
      </w:r>
      <w:r>
        <w:rPr>
          <w:b/>
          <w:sz w:val="20"/>
          <w:u w:val="single"/>
        </w:rPr>
        <w:t>of</w:t>
      </w:r>
      <w:r>
        <w:rPr>
          <w:b/>
          <w:spacing w:val="-10"/>
          <w:sz w:val="20"/>
          <w:u w:val="single"/>
        </w:rPr>
        <w:t xml:space="preserve"> </w:t>
      </w:r>
      <w:r>
        <w:rPr>
          <w:b/>
          <w:sz w:val="20"/>
          <w:u w:val="single"/>
        </w:rPr>
        <w:t>bulk</w:t>
      </w:r>
      <w:r>
        <w:rPr>
          <w:b/>
          <w:spacing w:val="-10"/>
          <w:sz w:val="20"/>
          <w:u w:val="single"/>
        </w:rPr>
        <w:t xml:space="preserve"> </w:t>
      </w:r>
      <w:r>
        <w:rPr>
          <w:b/>
          <w:sz w:val="20"/>
          <w:u w:val="single"/>
        </w:rPr>
        <w:t>vehicle</w:t>
      </w:r>
      <w:r>
        <w:rPr>
          <w:b/>
          <w:spacing w:val="-10"/>
          <w:sz w:val="20"/>
          <w:u w:val="single"/>
        </w:rPr>
        <w:t xml:space="preserve"> </w:t>
      </w:r>
      <w:r>
        <w:rPr>
          <w:b/>
          <w:sz w:val="20"/>
          <w:u w:val="single"/>
        </w:rPr>
        <w:t>engine</w:t>
      </w:r>
      <w:r>
        <w:rPr>
          <w:b/>
          <w:spacing w:val="-10"/>
          <w:sz w:val="20"/>
          <w:u w:val="single"/>
        </w:rPr>
        <w:t xml:space="preserve"> </w:t>
      </w:r>
      <w:r>
        <w:rPr>
          <w:b/>
          <w:sz w:val="20"/>
          <w:u w:val="single"/>
        </w:rPr>
        <w:t>(motor)</w:t>
      </w:r>
      <w:r>
        <w:rPr>
          <w:b/>
          <w:spacing w:val="-10"/>
          <w:sz w:val="20"/>
          <w:u w:val="single"/>
        </w:rPr>
        <w:t xml:space="preserve"> </w:t>
      </w:r>
      <w:r>
        <w:rPr>
          <w:b/>
          <w:sz w:val="20"/>
          <w:u w:val="single"/>
        </w:rPr>
        <w:t>oil</w:t>
      </w:r>
      <w:r>
        <w:rPr>
          <w:b/>
          <w:spacing w:val="-12"/>
          <w:sz w:val="20"/>
          <w:u w:val="single"/>
        </w:rPr>
        <w:t xml:space="preserve"> </w:t>
      </w:r>
      <w:r>
        <w:rPr>
          <w:b/>
          <w:sz w:val="20"/>
          <w:u w:val="single"/>
        </w:rPr>
        <w:t>dispensed</w:t>
      </w:r>
      <w:r>
        <w:rPr>
          <w:b/>
          <w:sz w:val="20"/>
        </w:rPr>
        <w:t xml:space="preserve"> </w:t>
      </w:r>
      <w:r>
        <w:rPr>
          <w:b/>
          <w:sz w:val="20"/>
          <w:u w:val="single"/>
        </w:rPr>
        <w:t>from</w:t>
      </w:r>
      <w:r>
        <w:rPr>
          <w:b/>
          <w:spacing w:val="-8"/>
          <w:sz w:val="20"/>
          <w:u w:val="single"/>
        </w:rPr>
        <w:t xml:space="preserve"> </w:t>
      </w:r>
      <w:r>
        <w:rPr>
          <w:b/>
          <w:sz w:val="20"/>
          <w:u w:val="single"/>
        </w:rPr>
        <w:t>a</w:t>
      </w:r>
      <w:r>
        <w:rPr>
          <w:b/>
          <w:spacing w:val="-8"/>
          <w:sz w:val="20"/>
          <w:u w:val="single"/>
        </w:rPr>
        <w:t xml:space="preserve"> </w:t>
      </w:r>
      <w:r>
        <w:rPr>
          <w:b/>
          <w:sz w:val="20"/>
          <w:u w:val="single"/>
        </w:rPr>
        <w:t>receptacle,</w:t>
      </w:r>
      <w:r>
        <w:rPr>
          <w:b/>
          <w:spacing w:val="-8"/>
          <w:sz w:val="20"/>
          <w:u w:val="single"/>
        </w:rPr>
        <w:t xml:space="preserve"> </w:t>
      </w:r>
      <w:r>
        <w:rPr>
          <w:b/>
          <w:sz w:val="20"/>
          <w:u w:val="single"/>
        </w:rPr>
        <w:t>dispenser,</w:t>
      </w:r>
      <w:r>
        <w:rPr>
          <w:b/>
          <w:spacing w:val="-4"/>
          <w:sz w:val="20"/>
          <w:u w:val="single"/>
        </w:rPr>
        <w:t xml:space="preserve"> </w:t>
      </w:r>
      <w:r>
        <w:rPr>
          <w:b/>
          <w:sz w:val="20"/>
          <w:u w:val="single"/>
        </w:rPr>
        <w:t>or</w:t>
      </w:r>
      <w:r>
        <w:rPr>
          <w:b/>
          <w:spacing w:val="-9"/>
          <w:sz w:val="20"/>
          <w:u w:val="single"/>
        </w:rPr>
        <w:t xml:space="preserve"> </w:t>
      </w:r>
      <w:r>
        <w:rPr>
          <w:b/>
          <w:sz w:val="20"/>
          <w:u w:val="single"/>
        </w:rPr>
        <w:t>storage</w:t>
      </w:r>
      <w:r>
        <w:rPr>
          <w:b/>
          <w:spacing w:val="-9"/>
          <w:sz w:val="20"/>
          <w:u w:val="single"/>
        </w:rPr>
        <w:t xml:space="preserve"> </w:t>
      </w:r>
      <w:r>
        <w:rPr>
          <w:b/>
          <w:sz w:val="20"/>
          <w:u w:val="single"/>
        </w:rPr>
        <w:t>tank</w:t>
      </w:r>
      <w:r>
        <w:rPr>
          <w:b/>
          <w:spacing w:val="-6"/>
          <w:sz w:val="20"/>
          <w:u w:val="single"/>
        </w:rPr>
        <w:t xml:space="preserve"> </w:t>
      </w:r>
      <w:r>
        <w:rPr>
          <w:b/>
          <w:sz w:val="20"/>
          <w:u w:val="single"/>
        </w:rPr>
        <w:t>shall</w:t>
      </w:r>
      <w:r>
        <w:rPr>
          <w:b/>
          <w:spacing w:val="-7"/>
          <w:sz w:val="20"/>
          <w:u w:val="single"/>
        </w:rPr>
        <w:t xml:space="preserve"> </w:t>
      </w:r>
      <w:r>
        <w:rPr>
          <w:b/>
          <w:sz w:val="20"/>
          <w:u w:val="single"/>
        </w:rPr>
        <w:t>bear</w:t>
      </w:r>
      <w:r>
        <w:rPr>
          <w:b/>
          <w:spacing w:val="-9"/>
          <w:sz w:val="20"/>
          <w:u w:val="single"/>
        </w:rPr>
        <w:t xml:space="preserve"> </w:t>
      </w:r>
      <w:r>
        <w:rPr>
          <w:b/>
          <w:sz w:val="20"/>
          <w:u w:val="single"/>
        </w:rPr>
        <w:t>the</w:t>
      </w:r>
      <w:r>
        <w:rPr>
          <w:b/>
          <w:spacing w:val="-6"/>
          <w:sz w:val="20"/>
          <w:u w:val="single"/>
        </w:rPr>
        <w:t xml:space="preserve"> </w:t>
      </w:r>
      <w:r>
        <w:rPr>
          <w:b/>
          <w:sz w:val="20"/>
          <w:u w:val="single"/>
        </w:rPr>
        <w:t>plainly-visible,</w:t>
      </w:r>
      <w:r>
        <w:rPr>
          <w:b/>
          <w:spacing w:val="-6"/>
          <w:sz w:val="20"/>
          <w:u w:val="single"/>
        </w:rPr>
        <w:t xml:space="preserve"> </w:t>
      </w:r>
      <w:r>
        <w:rPr>
          <w:b/>
          <w:sz w:val="20"/>
          <w:u w:val="single"/>
        </w:rPr>
        <w:t>cautionary</w:t>
      </w:r>
      <w:r>
        <w:rPr>
          <w:b/>
          <w:spacing w:val="-9"/>
          <w:sz w:val="20"/>
          <w:u w:val="single"/>
        </w:rPr>
        <w:t xml:space="preserve"> </w:t>
      </w:r>
      <w:r>
        <w:rPr>
          <w:b/>
          <w:sz w:val="20"/>
          <w:u w:val="single"/>
        </w:rPr>
        <w:t>statement</w:t>
      </w:r>
      <w:r>
        <w:rPr>
          <w:b/>
          <w:spacing w:val="-6"/>
          <w:sz w:val="20"/>
          <w:u w:val="single"/>
        </w:rPr>
        <w:t xml:space="preserve"> </w:t>
      </w:r>
      <w:r>
        <w:rPr>
          <w:b/>
          <w:sz w:val="20"/>
          <w:u w:val="single"/>
        </w:rPr>
        <w:t>required</w:t>
      </w:r>
      <w:r>
        <w:rPr>
          <w:b/>
          <w:spacing w:val="-7"/>
          <w:sz w:val="20"/>
          <w:u w:val="single"/>
        </w:rPr>
        <w:t xml:space="preserve"> </w:t>
      </w:r>
      <w:r>
        <w:rPr>
          <w:b/>
          <w:sz w:val="20"/>
          <w:u w:val="single"/>
        </w:rPr>
        <w:t>by</w:t>
      </w:r>
      <w:r>
        <w:rPr>
          <w:b/>
          <w:sz w:val="20"/>
        </w:rPr>
        <w:t xml:space="preserve"> </w:t>
      </w:r>
      <w:r>
        <w:rPr>
          <w:b/>
          <w:sz w:val="20"/>
          <w:u w:val="single"/>
        </w:rPr>
        <w:t>the vehicle or engine manufacturer.</w:t>
      </w:r>
      <w:r>
        <w:rPr>
          <w:b/>
          <w:sz w:val="20"/>
        </w:rPr>
        <w:t xml:space="preserve"> </w:t>
      </w:r>
      <w:r>
        <w:rPr>
          <w:b/>
          <w:strike/>
          <w:sz w:val="20"/>
        </w:rPr>
        <w:t>If a vehicle engine (motor) oil is identified as only meeting a vehicle or</w:t>
      </w:r>
      <w:r>
        <w:rPr>
          <w:b/>
          <w:sz w:val="20"/>
        </w:rPr>
        <w:t xml:space="preserve"> </w:t>
      </w:r>
      <w:r>
        <w:rPr>
          <w:b/>
          <w:strike/>
          <w:sz w:val="20"/>
        </w:rPr>
        <w:t>engine manufacturer standard, the labeling requirements in Section 2.33.1.3.1. Vehicle or Engine</w:t>
      </w:r>
      <w:r>
        <w:rPr>
          <w:b/>
          <w:sz w:val="20"/>
        </w:rPr>
        <w:t xml:space="preserve"> </w:t>
      </w:r>
      <w:r>
        <w:rPr>
          <w:b/>
          <w:strike/>
          <w:sz w:val="20"/>
        </w:rPr>
        <w:t>Manufacturer Standard</w:t>
      </w:r>
      <w:r>
        <w:rPr>
          <w:b/>
          <w:strike/>
          <w:spacing w:val="-1"/>
          <w:sz w:val="20"/>
        </w:rPr>
        <w:t xml:space="preserve"> </w:t>
      </w:r>
      <w:r>
        <w:rPr>
          <w:b/>
          <w:strike/>
          <w:sz w:val="20"/>
        </w:rPr>
        <w:t>applies.</w:t>
      </w:r>
    </w:p>
    <w:p w14:paraId="10AA50F9" w14:textId="33F6DCF1" w:rsidR="00FC537E" w:rsidRDefault="00ED0D76" w:rsidP="00ED0D76">
      <w:pPr>
        <w:pStyle w:val="TableParagraph"/>
        <w:spacing w:after="240"/>
        <w:ind w:left="90" w:right="97"/>
        <w:jc w:val="both"/>
        <w:rPr>
          <w:sz w:val="20"/>
        </w:rPr>
      </w:pPr>
      <w:r>
        <w:rPr>
          <w:sz w:val="20"/>
        </w:rPr>
        <w:t xml:space="preserve">(Amended 2014 </w:t>
      </w:r>
      <w:r>
        <w:rPr>
          <w:b/>
          <w:sz w:val="20"/>
          <w:u w:val="single"/>
        </w:rPr>
        <w:t>and 20XX</w:t>
      </w:r>
      <w:r>
        <w:rPr>
          <w:sz w:val="20"/>
        </w:rPr>
        <w:t>)</w:t>
      </w:r>
    </w:p>
    <w:p w14:paraId="344D1779" w14:textId="77777777" w:rsidR="00ED0D76" w:rsidRDefault="00ED0D76" w:rsidP="00ED0D76">
      <w:pPr>
        <w:pStyle w:val="TableParagraph"/>
        <w:spacing w:before="1"/>
        <w:ind w:right="101"/>
        <w:jc w:val="both"/>
        <w:rPr>
          <w:b/>
          <w:sz w:val="20"/>
        </w:rPr>
      </w:pPr>
      <w:r>
        <w:rPr>
          <w:b/>
          <w:sz w:val="20"/>
        </w:rPr>
        <w:t>3.13.1.3.2. Inactive or Obsolete Service Categories. –</w:t>
      </w:r>
      <w:r>
        <w:rPr>
          <w:b/>
          <w:strike/>
          <w:sz w:val="20"/>
        </w:rPr>
        <w:t>The label on any vehicle engine (motor) oil container, receptacle, dispenser, or storage tank and the invoice or receipt from service on an engine that includes the installation</w:t>
      </w:r>
      <w:r>
        <w:rPr>
          <w:b/>
          <w:strike/>
          <w:spacing w:val="-5"/>
          <w:sz w:val="20"/>
        </w:rPr>
        <w:t xml:space="preserve"> </w:t>
      </w:r>
      <w:r>
        <w:rPr>
          <w:b/>
          <w:strike/>
          <w:sz w:val="20"/>
        </w:rPr>
        <w:t>of</w:t>
      </w:r>
      <w:r>
        <w:rPr>
          <w:b/>
          <w:strike/>
          <w:spacing w:val="-3"/>
          <w:sz w:val="20"/>
        </w:rPr>
        <w:t xml:space="preserve"> </w:t>
      </w:r>
      <w:r>
        <w:rPr>
          <w:b/>
          <w:strike/>
          <w:sz w:val="20"/>
        </w:rPr>
        <w:t>vehicle</w:t>
      </w:r>
      <w:r>
        <w:rPr>
          <w:b/>
          <w:strike/>
          <w:spacing w:val="-3"/>
          <w:sz w:val="20"/>
        </w:rPr>
        <w:t xml:space="preserve"> </w:t>
      </w:r>
      <w:r>
        <w:rPr>
          <w:b/>
          <w:strike/>
          <w:sz w:val="20"/>
        </w:rPr>
        <w:t>engine</w:t>
      </w:r>
      <w:r>
        <w:rPr>
          <w:b/>
          <w:strike/>
          <w:spacing w:val="-2"/>
          <w:sz w:val="20"/>
        </w:rPr>
        <w:t xml:space="preserve"> </w:t>
      </w:r>
      <w:r>
        <w:rPr>
          <w:b/>
          <w:strike/>
          <w:sz w:val="20"/>
        </w:rPr>
        <w:t>(motor)</w:t>
      </w:r>
      <w:r>
        <w:rPr>
          <w:b/>
          <w:strike/>
          <w:spacing w:val="-3"/>
          <w:sz w:val="20"/>
        </w:rPr>
        <w:t xml:space="preserve"> </w:t>
      </w:r>
      <w:r>
        <w:rPr>
          <w:b/>
          <w:strike/>
          <w:sz w:val="20"/>
        </w:rPr>
        <w:t>oil</w:t>
      </w:r>
      <w:r>
        <w:rPr>
          <w:b/>
          <w:strike/>
          <w:spacing w:val="-4"/>
          <w:sz w:val="20"/>
        </w:rPr>
        <w:t xml:space="preserve"> </w:t>
      </w:r>
      <w:r>
        <w:rPr>
          <w:b/>
          <w:strike/>
          <w:sz w:val="20"/>
        </w:rPr>
        <w:t>dispensed</w:t>
      </w:r>
      <w:r>
        <w:rPr>
          <w:b/>
          <w:strike/>
          <w:spacing w:val="-1"/>
          <w:sz w:val="20"/>
        </w:rPr>
        <w:t xml:space="preserve"> </w:t>
      </w:r>
      <w:r>
        <w:rPr>
          <w:b/>
          <w:strike/>
          <w:sz w:val="20"/>
        </w:rPr>
        <w:t>from</w:t>
      </w:r>
      <w:r>
        <w:rPr>
          <w:b/>
          <w:strike/>
          <w:spacing w:val="-3"/>
          <w:sz w:val="20"/>
        </w:rPr>
        <w:t xml:space="preserve"> </w:t>
      </w:r>
      <w:r>
        <w:rPr>
          <w:b/>
          <w:strike/>
          <w:sz w:val="20"/>
        </w:rPr>
        <w:t>a</w:t>
      </w:r>
      <w:r>
        <w:rPr>
          <w:b/>
          <w:strike/>
          <w:spacing w:val="-2"/>
          <w:sz w:val="20"/>
        </w:rPr>
        <w:t xml:space="preserve"> </w:t>
      </w:r>
      <w:r>
        <w:rPr>
          <w:b/>
          <w:strike/>
          <w:sz w:val="20"/>
        </w:rPr>
        <w:t>receptacle,</w:t>
      </w:r>
      <w:r>
        <w:rPr>
          <w:b/>
          <w:strike/>
          <w:spacing w:val="-2"/>
          <w:sz w:val="20"/>
        </w:rPr>
        <w:t xml:space="preserve"> </w:t>
      </w:r>
      <w:r>
        <w:rPr>
          <w:b/>
          <w:strike/>
          <w:sz w:val="20"/>
        </w:rPr>
        <w:t>dispenser,</w:t>
      </w:r>
      <w:r>
        <w:rPr>
          <w:b/>
          <w:strike/>
          <w:spacing w:val="-3"/>
          <w:sz w:val="20"/>
        </w:rPr>
        <w:t xml:space="preserve"> </w:t>
      </w:r>
      <w:r>
        <w:rPr>
          <w:b/>
          <w:strike/>
          <w:sz w:val="20"/>
        </w:rPr>
        <w:t>or</w:t>
      </w:r>
      <w:r>
        <w:rPr>
          <w:b/>
          <w:strike/>
          <w:spacing w:val="-2"/>
          <w:sz w:val="20"/>
        </w:rPr>
        <w:t xml:space="preserve"> </w:t>
      </w:r>
      <w:r>
        <w:rPr>
          <w:b/>
          <w:strike/>
          <w:sz w:val="20"/>
        </w:rPr>
        <w:t>storage</w:t>
      </w:r>
      <w:r>
        <w:rPr>
          <w:b/>
          <w:strike/>
          <w:spacing w:val="-3"/>
          <w:sz w:val="20"/>
        </w:rPr>
        <w:t xml:space="preserve"> </w:t>
      </w:r>
      <w:r>
        <w:rPr>
          <w:b/>
          <w:strike/>
          <w:sz w:val="20"/>
        </w:rPr>
        <w:t>tank</w:t>
      </w:r>
      <w:r>
        <w:rPr>
          <w:b/>
          <w:strike/>
          <w:spacing w:val="-2"/>
          <w:sz w:val="20"/>
        </w:rPr>
        <w:t xml:space="preserve"> </w:t>
      </w:r>
      <w:r>
        <w:rPr>
          <w:b/>
          <w:strike/>
          <w:sz w:val="20"/>
        </w:rPr>
        <w:t>shall</w:t>
      </w:r>
      <w:r>
        <w:rPr>
          <w:b/>
          <w:strike/>
          <w:spacing w:val="-4"/>
          <w:sz w:val="20"/>
        </w:rPr>
        <w:t xml:space="preserve"> </w:t>
      </w:r>
      <w:r>
        <w:rPr>
          <w:b/>
          <w:strike/>
          <w:sz w:val="20"/>
        </w:rPr>
        <w:t>bear</w:t>
      </w:r>
      <w:r>
        <w:rPr>
          <w:b/>
          <w:strike/>
          <w:spacing w:val="-4"/>
          <w:sz w:val="20"/>
        </w:rPr>
        <w:t xml:space="preserve"> </w:t>
      </w:r>
      <w:r>
        <w:rPr>
          <w:b/>
          <w:strike/>
          <w:sz w:val="20"/>
        </w:rPr>
        <w:t>a</w:t>
      </w:r>
    </w:p>
    <w:p w14:paraId="5706ACFE" w14:textId="09CBAFEC" w:rsidR="00ED0D76" w:rsidRDefault="00ED0D76" w:rsidP="00ED0D76">
      <w:pPr>
        <w:pStyle w:val="TableParagraph"/>
        <w:ind w:right="95"/>
        <w:jc w:val="both"/>
        <w:rPr>
          <w:b/>
          <w:sz w:val="20"/>
        </w:rPr>
      </w:pPr>
      <w:r>
        <w:rPr>
          <w:strike/>
          <w:spacing w:val="-50"/>
          <w:w w:val="99"/>
          <w:sz w:val="20"/>
        </w:rPr>
        <w:t xml:space="preserve"> </w:t>
      </w:r>
      <w:r>
        <w:rPr>
          <w:b/>
          <w:strike/>
          <w:sz w:val="20"/>
        </w:rPr>
        <w:t>plainly  visible  cautionary  statement  in  compliance  with  the  latest  version  of  SAE  J183,  “Engine</w:t>
      </w:r>
      <w:r>
        <w:rPr>
          <w:b/>
          <w:strike/>
          <w:spacing w:val="26"/>
          <w:sz w:val="20"/>
        </w:rPr>
        <w:t xml:space="preserve"> </w:t>
      </w:r>
      <w:r>
        <w:rPr>
          <w:b/>
          <w:strike/>
          <w:spacing w:val="3"/>
          <w:sz w:val="20"/>
        </w:rPr>
        <w:t>Oil</w:t>
      </w:r>
      <w:r w:rsidRPr="00ED0D76">
        <w:rPr>
          <w:b/>
          <w:strike/>
        </w:rPr>
        <w:t xml:space="preserve"> </w:t>
      </w:r>
      <w:r>
        <w:rPr>
          <w:b/>
          <w:strike/>
          <w:sz w:val="20"/>
        </w:rPr>
        <w:t>Performance</w:t>
      </w:r>
      <w:r>
        <w:rPr>
          <w:b/>
          <w:strike/>
          <w:spacing w:val="-6"/>
          <w:sz w:val="20"/>
        </w:rPr>
        <w:t xml:space="preserve"> </w:t>
      </w:r>
      <w:r>
        <w:rPr>
          <w:b/>
          <w:strike/>
          <w:sz w:val="20"/>
        </w:rPr>
        <w:t>and</w:t>
      </w:r>
      <w:r>
        <w:rPr>
          <w:b/>
          <w:strike/>
          <w:spacing w:val="-7"/>
          <w:sz w:val="20"/>
        </w:rPr>
        <w:t xml:space="preserve"> </w:t>
      </w:r>
      <w:r>
        <w:rPr>
          <w:b/>
          <w:strike/>
          <w:sz w:val="20"/>
        </w:rPr>
        <w:t>Engine</w:t>
      </w:r>
      <w:r>
        <w:rPr>
          <w:b/>
          <w:strike/>
          <w:spacing w:val="-5"/>
          <w:sz w:val="20"/>
        </w:rPr>
        <w:t xml:space="preserve"> </w:t>
      </w:r>
      <w:r>
        <w:rPr>
          <w:b/>
          <w:strike/>
          <w:sz w:val="20"/>
        </w:rPr>
        <w:t>Service</w:t>
      </w:r>
      <w:r>
        <w:rPr>
          <w:b/>
          <w:strike/>
          <w:spacing w:val="-6"/>
          <w:sz w:val="20"/>
        </w:rPr>
        <w:t xml:space="preserve"> </w:t>
      </w:r>
      <w:r>
        <w:rPr>
          <w:b/>
          <w:strike/>
          <w:sz w:val="20"/>
        </w:rPr>
        <w:t>Classification</w:t>
      </w:r>
      <w:r>
        <w:rPr>
          <w:b/>
          <w:strike/>
          <w:spacing w:val="-7"/>
          <w:sz w:val="20"/>
        </w:rPr>
        <w:t xml:space="preserve"> </w:t>
      </w:r>
      <w:r>
        <w:rPr>
          <w:b/>
          <w:strike/>
          <w:sz w:val="20"/>
        </w:rPr>
        <w:t>(Other</w:t>
      </w:r>
      <w:r>
        <w:rPr>
          <w:b/>
          <w:strike/>
          <w:spacing w:val="-5"/>
          <w:sz w:val="20"/>
        </w:rPr>
        <w:t xml:space="preserve"> </w:t>
      </w:r>
      <w:r>
        <w:rPr>
          <w:b/>
          <w:strike/>
          <w:sz w:val="20"/>
        </w:rPr>
        <w:t>than</w:t>
      </w:r>
      <w:r>
        <w:rPr>
          <w:b/>
          <w:strike/>
          <w:spacing w:val="-7"/>
          <w:sz w:val="20"/>
        </w:rPr>
        <w:t xml:space="preserve"> </w:t>
      </w:r>
      <w:r>
        <w:rPr>
          <w:b/>
          <w:strike/>
          <w:sz w:val="20"/>
        </w:rPr>
        <w:t>“Energy</w:t>
      </w:r>
      <w:r>
        <w:rPr>
          <w:b/>
          <w:strike/>
          <w:spacing w:val="-5"/>
          <w:sz w:val="20"/>
        </w:rPr>
        <w:t xml:space="preserve"> </w:t>
      </w:r>
      <w:r>
        <w:rPr>
          <w:b/>
          <w:strike/>
          <w:sz w:val="20"/>
        </w:rPr>
        <w:t>Conserving”)”</w:t>
      </w:r>
      <w:r>
        <w:rPr>
          <w:b/>
          <w:strike/>
          <w:spacing w:val="-5"/>
          <w:sz w:val="20"/>
        </w:rPr>
        <w:t xml:space="preserve"> </w:t>
      </w:r>
      <w:r>
        <w:rPr>
          <w:b/>
          <w:strike/>
          <w:sz w:val="20"/>
        </w:rPr>
        <w:t>Appendix</w:t>
      </w:r>
      <w:r>
        <w:rPr>
          <w:b/>
          <w:strike/>
          <w:spacing w:val="-6"/>
          <w:sz w:val="20"/>
        </w:rPr>
        <w:t xml:space="preserve"> </w:t>
      </w:r>
      <w:r>
        <w:rPr>
          <w:b/>
          <w:strike/>
          <w:sz w:val="20"/>
        </w:rPr>
        <w:t>A,</w:t>
      </w:r>
      <w:r>
        <w:rPr>
          <w:b/>
          <w:spacing w:val="-6"/>
          <w:sz w:val="20"/>
        </w:rPr>
        <w:t xml:space="preserve"> </w:t>
      </w:r>
      <w:r>
        <w:rPr>
          <w:b/>
          <w:sz w:val="20"/>
          <w:u w:val="single"/>
        </w:rPr>
        <w:t>W</w:t>
      </w:r>
      <w:r>
        <w:rPr>
          <w:sz w:val="20"/>
        </w:rPr>
        <w:t xml:space="preserve">henever </w:t>
      </w:r>
      <w:r>
        <w:rPr>
          <w:b/>
          <w:strike/>
          <w:sz w:val="20"/>
        </w:rPr>
        <w:t>the</w:t>
      </w:r>
      <w:r>
        <w:rPr>
          <w:b/>
          <w:spacing w:val="-6"/>
          <w:sz w:val="20"/>
        </w:rPr>
        <w:t xml:space="preserve"> </w:t>
      </w:r>
      <w:r>
        <w:rPr>
          <w:b/>
          <w:sz w:val="20"/>
          <w:u w:val="single"/>
        </w:rPr>
        <w:t>any</w:t>
      </w:r>
      <w:r>
        <w:rPr>
          <w:b/>
          <w:spacing w:val="-5"/>
          <w:sz w:val="20"/>
        </w:rPr>
        <w:t xml:space="preserve"> </w:t>
      </w:r>
      <w:r>
        <w:rPr>
          <w:sz w:val="20"/>
        </w:rPr>
        <w:t>vehicle</w:t>
      </w:r>
      <w:r>
        <w:rPr>
          <w:spacing w:val="-5"/>
          <w:sz w:val="20"/>
        </w:rPr>
        <w:t xml:space="preserve"> </w:t>
      </w:r>
      <w:r>
        <w:rPr>
          <w:sz w:val="20"/>
        </w:rPr>
        <w:t>engine</w:t>
      </w:r>
      <w:r>
        <w:rPr>
          <w:spacing w:val="-5"/>
          <w:sz w:val="20"/>
        </w:rPr>
        <w:t xml:space="preserve"> </w:t>
      </w:r>
      <w:r>
        <w:rPr>
          <w:sz w:val="20"/>
        </w:rPr>
        <w:t>(motor)</w:t>
      </w:r>
      <w:r>
        <w:rPr>
          <w:spacing w:val="-5"/>
          <w:sz w:val="20"/>
        </w:rPr>
        <w:t xml:space="preserve"> </w:t>
      </w:r>
      <w:r>
        <w:rPr>
          <w:sz w:val="20"/>
        </w:rPr>
        <w:t>oil</w:t>
      </w:r>
      <w:r>
        <w:rPr>
          <w:spacing w:val="-3"/>
          <w:sz w:val="20"/>
        </w:rPr>
        <w:t xml:space="preserve"> </w:t>
      </w:r>
      <w:r>
        <w:rPr>
          <w:sz w:val="20"/>
        </w:rPr>
        <w:t>in</w:t>
      </w:r>
      <w:r>
        <w:rPr>
          <w:spacing w:val="-4"/>
          <w:sz w:val="20"/>
        </w:rPr>
        <w:t xml:space="preserve"> </w:t>
      </w:r>
      <w:r>
        <w:rPr>
          <w:b/>
          <w:strike/>
          <w:sz w:val="20"/>
        </w:rPr>
        <w:t>the</w:t>
      </w:r>
      <w:r>
        <w:rPr>
          <w:b/>
          <w:spacing w:val="-6"/>
          <w:sz w:val="20"/>
        </w:rPr>
        <w:t xml:space="preserve"> </w:t>
      </w:r>
      <w:r>
        <w:rPr>
          <w:b/>
          <w:sz w:val="20"/>
          <w:u w:val="single"/>
        </w:rPr>
        <w:t>a</w:t>
      </w:r>
      <w:r>
        <w:rPr>
          <w:b/>
          <w:spacing w:val="-5"/>
          <w:sz w:val="20"/>
        </w:rPr>
        <w:t xml:space="preserve"> </w:t>
      </w:r>
      <w:r>
        <w:rPr>
          <w:sz w:val="20"/>
        </w:rPr>
        <w:t>container</w:t>
      </w:r>
      <w:r>
        <w:rPr>
          <w:spacing w:val="-6"/>
          <w:sz w:val="20"/>
          <w:u w:val="single"/>
        </w:rPr>
        <w:t xml:space="preserve"> </w:t>
      </w:r>
      <w:r>
        <w:rPr>
          <w:b/>
          <w:sz w:val="20"/>
          <w:u w:val="single"/>
        </w:rPr>
        <w:t>receptacle,</w:t>
      </w:r>
      <w:r>
        <w:rPr>
          <w:b/>
          <w:spacing w:val="-5"/>
          <w:sz w:val="20"/>
          <w:u w:val="single"/>
        </w:rPr>
        <w:t xml:space="preserve"> </w:t>
      </w:r>
      <w:r>
        <w:rPr>
          <w:b/>
          <w:sz w:val="20"/>
          <w:u w:val="single"/>
        </w:rPr>
        <w:t>dispenser,</w:t>
      </w:r>
      <w:r>
        <w:rPr>
          <w:b/>
          <w:spacing w:val="-3"/>
          <w:sz w:val="20"/>
          <w:u w:val="single"/>
        </w:rPr>
        <w:t xml:space="preserve"> </w:t>
      </w:r>
      <w:r>
        <w:rPr>
          <w:b/>
          <w:sz w:val="20"/>
          <w:u w:val="single"/>
        </w:rPr>
        <w:t>storage</w:t>
      </w:r>
      <w:r>
        <w:rPr>
          <w:b/>
          <w:spacing w:val="-5"/>
          <w:sz w:val="20"/>
          <w:u w:val="single"/>
        </w:rPr>
        <w:t xml:space="preserve"> </w:t>
      </w:r>
      <w:r>
        <w:rPr>
          <w:b/>
          <w:sz w:val="20"/>
          <w:u w:val="single"/>
        </w:rPr>
        <w:t>tank</w:t>
      </w:r>
      <w:r>
        <w:rPr>
          <w:b/>
          <w:spacing w:val="-1"/>
          <w:sz w:val="20"/>
        </w:rPr>
        <w:t xml:space="preserve"> </w:t>
      </w:r>
      <w:r>
        <w:rPr>
          <w:sz w:val="20"/>
        </w:rPr>
        <w:t>or</w:t>
      </w:r>
      <w:r>
        <w:rPr>
          <w:spacing w:val="-5"/>
          <w:sz w:val="20"/>
        </w:rPr>
        <w:t xml:space="preserve"> </w:t>
      </w:r>
      <w:r>
        <w:rPr>
          <w:sz w:val="20"/>
        </w:rPr>
        <w:t>in</w:t>
      </w:r>
      <w:r>
        <w:rPr>
          <w:spacing w:val="-5"/>
          <w:sz w:val="20"/>
        </w:rPr>
        <w:t xml:space="preserve"> </w:t>
      </w:r>
      <w:r>
        <w:rPr>
          <w:sz w:val="20"/>
        </w:rPr>
        <w:t>bulk</w:t>
      </w:r>
      <w:r>
        <w:rPr>
          <w:spacing w:val="-5"/>
          <w:sz w:val="20"/>
        </w:rPr>
        <w:t xml:space="preserve"> </w:t>
      </w:r>
      <w:r>
        <w:rPr>
          <w:sz w:val="20"/>
        </w:rPr>
        <w:t>does</w:t>
      </w:r>
      <w:r>
        <w:rPr>
          <w:spacing w:val="-6"/>
          <w:sz w:val="20"/>
        </w:rPr>
        <w:t xml:space="preserve"> </w:t>
      </w:r>
      <w:r>
        <w:rPr>
          <w:sz w:val="20"/>
        </w:rPr>
        <w:t>not</w:t>
      </w:r>
      <w:r>
        <w:rPr>
          <w:spacing w:val="-6"/>
          <w:sz w:val="20"/>
        </w:rPr>
        <w:t xml:space="preserve"> </w:t>
      </w:r>
      <w:r>
        <w:rPr>
          <w:sz w:val="20"/>
        </w:rPr>
        <w:t>meet an active API service category as defined by the latest version of SAE J183, “Engine Oil Performance and Engine Service</w:t>
      </w:r>
      <w:r>
        <w:rPr>
          <w:spacing w:val="10"/>
          <w:sz w:val="20"/>
        </w:rPr>
        <w:t xml:space="preserve"> </w:t>
      </w:r>
      <w:r>
        <w:rPr>
          <w:sz w:val="20"/>
        </w:rPr>
        <w:t>Classification</w:t>
      </w:r>
      <w:r>
        <w:rPr>
          <w:spacing w:val="11"/>
          <w:sz w:val="20"/>
        </w:rPr>
        <w:t xml:space="preserve"> </w:t>
      </w:r>
      <w:r>
        <w:rPr>
          <w:sz w:val="20"/>
        </w:rPr>
        <w:t>(Other</w:t>
      </w:r>
      <w:r>
        <w:rPr>
          <w:spacing w:val="11"/>
          <w:sz w:val="20"/>
        </w:rPr>
        <w:t xml:space="preserve"> </w:t>
      </w:r>
      <w:r>
        <w:rPr>
          <w:sz w:val="20"/>
        </w:rPr>
        <w:t>than</w:t>
      </w:r>
      <w:r>
        <w:rPr>
          <w:spacing w:val="11"/>
          <w:sz w:val="20"/>
        </w:rPr>
        <w:t xml:space="preserve"> </w:t>
      </w:r>
      <w:r>
        <w:rPr>
          <w:sz w:val="20"/>
        </w:rPr>
        <w:t>“Energy</w:t>
      </w:r>
      <w:r>
        <w:rPr>
          <w:spacing w:val="12"/>
          <w:sz w:val="20"/>
        </w:rPr>
        <w:t xml:space="preserve"> </w:t>
      </w:r>
      <w:r>
        <w:rPr>
          <w:sz w:val="20"/>
        </w:rPr>
        <w:t>Conserving”)</w:t>
      </w:r>
      <w:r>
        <w:rPr>
          <w:b/>
          <w:sz w:val="20"/>
        </w:rPr>
        <w:t>.</w:t>
      </w:r>
      <w:r>
        <w:rPr>
          <w:b/>
          <w:sz w:val="20"/>
          <w:u w:val="single"/>
        </w:rPr>
        <w:t>,”</w:t>
      </w:r>
      <w:r>
        <w:rPr>
          <w:b/>
          <w:spacing w:val="8"/>
          <w:sz w:val="20"/>
          <w:u w:val="single"/>
        </w:rPr>
        <w:t xml:space="preserve"> </w:t>
      </w:r>
      <w:r>
        <w:rPr>
          <w:b/>
          <w:sz w:val="20"/>
          <w:u w:val="single"/>
        </w:rPr>
        <w:t>A</w:t>
      </w:r>
      <w:r>
        <w:rPr>
          <w:b/>
          <w:sz w:val="20"/>
        </w:rPr>
        <w:t>PI</w:t>
      </w:r>
      <w:r>
        <w:rPr>
          <w:b/>
          <w:spacing w:val="10"/>
          <w:sz w:val="20"/>
        </w:rPr>
        <w:t xml:space="preserve"> </w:t>
      </w:r>
      <w:r>
        <w:rPr>
          <w:b/>
          <w:sz w:val="20"/>
        </w:rPr>
        <w:t>Publication 1509,</w:t>
      </w:r>
      <w:r>
        <w:rPr>
          <w:b/>
          <w:spacing w:val="8"/>
          <w:sz w:val="20"/>
        </w:rPr>
        <w:t xml:space="preserve"> </w:t>
      </w:r>
      <w:r>
        <w:rPr>
          <w:b/>
          <w:sz w:val="20"/>
        </w:rPr>
        <w:t>“E</w:t>
      </w:r>
      <w:r>
        <w:rPr>
          <w:b/>
          <w:sz w:val="20"/>
          <w:u w:val="single"/>
        </w:rPr>
        <w:t>n</w:t>
      </w:r>
      <w:r>
        <w:rPr>
          <w:b/>
          <w:sz w:val="20"/>
        </w:rPr>
        <w:t>g</w:t>
      </w:r>
      <w:r>
        <w:rPr>
          <w:b/>
          <w:sz w:val="20"/>
          <w:u w:val="single"/>
        </w:rPr>
        <w:t>in</w:t>
      </w:r>
      <w:r>
        <w:rPr>
          <w:b/>
          <w:sz w:val="20"/>
        </w:rPr>
        <w:t>e</w:t>
      </w:r>
      <w:r>
        <w:rPr>
          <w:b/>
          <w:spacing w:val="10"/>
          <w:sz w:val="20"/>
        </w:rPr>
        <w:t xml:space="preserve"> </w:t>
      </w:r>
      <w:r>
        <w:rPr>
          <w:b/>
          <w:sz w:val="20"/>
        </w:rPr>
        <w:t>O</w:t>
      </w:r>
      <w:r>
        <w:rPr>
          <w:b/>
          <w:sz w:val="20"/>
          <w:u w:val="single"/>
        </w:rPr>
        <w:t>i</w:t>
      </w:r>
      <w:r>
        <w:rPr>
          <w:b/>
          <w:sz w:val="20"/>
        </w:rPr>
        <w:t>l</w:t>
      </w:r>
      <w:r>
        <w:rPr>
          <w:b/>
          <w:spacing w:val="13"/>
          <w:sz w:val="20"/>
        </w:rPr>
        <w:t xml:space="preserve"> </w:t>
      </w:r>
      <w:r>
        <w:rPr>
          <w:b/>
          <w:sz w:val="20"/>
        </w:rPr>
        <w:t>L</w:t>
      </w:r>
      <w:r>
        <w:rPr>
          <w:b/>
          <w:sz w:val="20"/>
          <w:u w:val="single"/>
        </w:rPr>
        <w:t>icen</w:t>
      </w:r>
      <w:r>
        <w:rPr>
          <w:b/>
          <w:sz w:val="20"/>
        </w:rPr>
        <w:t>s</w:t>
      </w:r>
      <w:r>
        <w:rPr>
          <w:b/>
          <w:sz w:val="20"/>
          <w:u w:val="single"/>
        </w:rPr>
        <w:t>in</w:t>
      </w:r>
      <w:r>
        <w:rPr>
          <w:b/>
          <w:sz w:val="20"/>
        </w:rPr>
        <w:t>g</w:t>
      </w:r>
      <w:r>
        <w:rPr>
          <w:b/>
          <w:spacing w:val="10"/>
          <w:sz w:val="20"/>
        </w:rPr>
        <w:t xml:space="preserve"> </w:t>
      </w:r>
      <w:r>
        <w:rPr>
          <w:b/>
          <w:sz w:val="20"/>
        </w:rPr>
        <w:t>a</w:t>
      </w:r>
      <w:r>
        <w:rPr>
          <w:b/>
          <w:sz w:val="20"/>
          <w:u w:val="single"/>
        </w:rPr>
        <w:t>n</w:t>
      </w:r>
      <w:r>
        <w:rPr>
          <w:b/>
          <w:sz w:val="20"/>
        </w:rPr>
        <w:t>d</w:t>
      </w:r>
    </w:p>
    <w:p w14:paraId="36275F5F" w14:textId="77777777" w:rsidR="00ED0D76" w:rsidRDefault="00ED0D76" w:rsidP="00ED0D76">
      <w:pPr>
        <w:pStyle w:val="TableParagraph"/>
        <w:spacing w:line="229" w:lineRule="exact"/>
        <w:rPr>
          <w:b/>
          <w:sz w:val="20"/>
        </w:rPr>
      </w:pPr>
      <w:r>
        <w:rPr>
          <w:spacing w:val="-50"/>
          <w:w w:val="99"/>
          <w:sz w:val="20"/>
          <w:u w:val="double"/>
        </w:rPr>
        <w:t xml:space="preserve"> </w:t>
      </w:r>
      <w:r>
        <w:rPr>
          <w:b/>
          <w:sz w:val="20"/>
          <w:u w:val="single"/>
        </w:rPr>
        <w:t>Ce</w:t>
      </w:r>
      <w:r>
        <w:rPr>
          <w:b/>
          <w:sz w:val="20"/>
        </w:rPr>
        <w:t>rt</w:t>
      </w:r>
      <w:r>
        <w:rPr>
          <w:b/>
          <w:sz w:val="20"/>
          <w:u w:val="single"/>
        </w:rPr>
        <w:t>i</w:t>
      </w:r>
      <w:r>
        <w:rPr>
          <w:b/>
          <w:sz w:val="20"/>
        </w:rPr>
        <w:t>f</w:t>
      </w:r>
      <w:r>
        <w:rPr>
          <w:b/>
          <w:sz w:val="20"/>
          <w:u w:val="single"/>
        </w:rPr>
        <w:t>i</w:t>
      </w:r>
      <w:r>
        <w:rPr>
          <w:b/>
          <w:sz w:val="20"/>
        </w:rPr>
        <w:t>cat</w:t>
      </w:r>
      <w:r>
        <w:rPr>
          <w:b/>
          <w:sz w:val="20"/>
          <w:u w:val="single"/>
        </w:rPr>
        <w:t>i</w:t>
      </w:r>
      <w:r>
        <w:rPr>
          <w:b/>
          <w:sz w:val="20"/>
        </w:rPr>
        <w:t xml:space="preserve">on   </w:t>
      </w:r>
      <w:r>
        <w:rPr>
          <w:b/>
          <w:sz w:val="20"/>
          <w:u w:val="single"/>
        </w:rPr>
        <w:t>S</w:t>
      </w:r>
      <w:r>
        <w:rPr>
          <w:b/>
          <w:sz w:val="20"/>
        </w:rPr>
        <w:t>yst</w:t>
      </w:r>
      <w:r>
        <w:rPr>
          <w:b/>
          <w:sz w:val="20"/>
          <w:u w:val="single"/>
        </w:rPr>
        <w:t>e</w:t>
      </w:r>
      <w:r>
        <w:rPr>
          <w:b/>
          <w:sz w:val="20"/>
        </w:rPr>
        <w:t>m,”   E</w:t>
      </w:r>
      <w:r>
        <w:rPr>
          <w:b/>
          <w:sz w:val="20"/>
          <w:u w:val="single"/>
        </w:rPr>
        <w:t>u</w:t>
      </w:r>
      <w:r>
        <w:rPr>
          <w:b/>
          <w:sz w:val="20"/>
        </w:rPr>
        <w:t>ro</w:t>
      </w:r>
      <w:r>
        <w:rPr>
          <w:b/>
          <w:sz w:val="20"/>
          <w:u w:val="single"/>
        </w:rPr>
        <w:t>p</w:t>
      </w:r>
      <w:r>
        <w:rPr>
          <w:b/>
          <w:sz w:val="20"/>
        </w:rPr>
        <w:t xml:space="preserve">ean   </w:t>
      </w:r>
      <w:r>
        <w:rPr>
          <w:b/>
          <w:sz w:val="20"/>
          <w:u w:val="single"/>
        </w:rPr>
        <w:t>Au</w:t>
      </w:r>
      <w:r>
        <w:rPr>
          <w:b/>
          <w:sz w:val="20"/>
        </w:rPr>
        <w:t>tomobile   Ma</w:t>
      </w:r>
      <w:r>
        <w:rPr>
          <w:b/>
          <w:sz w:val="20"/>
          <w:u w:val="single"/>
        </w:rPr>
        <w:t>n</w:t>
      </w:r>
      <w:r>
        <w:rPr>
          <w:b/>
          <w:sz w:val="20"/>
        </w:rPr>
        <w:t>ufa</w:t>
      </w:r>
      <w:r>
        <w:rPr>
          <w:b/>
          <w:sz w:val="20"/>
          <w:u w:val="single"/>
        </w:rPr>
        <w:t>c</w:t>
      </w:r>
      <w:r>
        <w:rPr>
          <w:b/>
          <w:sz w:val="20"/>
        </w:rPr>
        <w:t>t</w:t>
      </w:r>
      <w:r>
        <w:rPr>
          <w:b/>
          <w:sz w:val="20"/>
          <w:u w:val="single"/>
        </w:rPr>
        <w:t>ur</w:t>
      </w:r>
      <w:r>
        <w:rPr>
          <w:b/>
          <w:sz w:val="20"/>
        </w:rPr>
        <w:t>ers   Asso</w:t>
      </w:r>
      <w:r>
        <w:rPr>
          <w:b/>
          <w:sz w:val="20"/>
          <w:u w:val="single"/>
        </w:rPr>
        <w:t>ci</w:t>
      </w:r>
      <w:r>
        <w:rPr>
          <w:b/>
          <w:sz w:val="20"/>
        </w:rPr>
        <w:t>at</w:t>
      </w:r>
      <w:r>
        <w:rPr>
          <w:b/>
          <w:sz w:val="20"/>
          <w:u w:val="single"/>
        </w:rPr>
        <w:t>i</w:t>
      </w:r>
      <w:r>
        <w:rPr>
          <w:b/>
          <w:sz w:val="20"/>
        </w:rPr>
        <w:t>on   (</w:t>
      </w:r>
      <w:r>
        <w:rPr>
          <w:b/>
          <w:sz w:val="20"/>
          <w:u w:val="single"/>
        </w:rPr>
        <w:t>A</w:t>
      </w:r>
      <w:r>
        <w:rPr>
          <w:b/>
          <w:sz w:val="20"/>
        </w:rPr>
        <w:t>CE</w:t>
      </w:r>
      <w:r>
        <w:rPr>
          <w:b/>
          <w:sz w:val="20"/>
          <w:u w:val="single"/>
        </w:rPr>
        <w:t>A</w:t>
      </w:r>
      <w:r>
        <w:rPr>
          <w:b/>
          <w:sz w:val="20"/>
        </w:rPr>
        <w:t>),   “E</w:t>
      </w:r>
      <w:r>
        <w:rPr>
          <w:b/>
          <w:sz w:val="20"/>
          <w:u w:val="single"/>
        </w:rPr>
        <w:t>ur</w:t>
      </w:r>
      <w:r>
        <w:rPr>
          <w:b/>
          <w:sz w:val="20"/>
        </w:rPr>
        <w:t>o</w:t>
      </w:r>
      <w:r>
        <w:rPr>
          <w:b/>
          <w:sz w:val="20"/>
          <w:u w:val="single"/>
        </w:rPr>
        <w:t>pe</w:t>
      </w:r>
      <w:r>
        <w:rPr>
          <w:b/>
          <w:sz w:val="20"/>
        </w:rPr>
        <w:t xml:space="preserve">an </w:t>
      </w:r>
      <w:r>
        <w:rPr>
          <w:b/>
          <w:spacing w:val="6"/>
          <w:sz w:val="20"/>
        </w:rPr>
        <w:t xml:space="preserve"> </w:t>
      </w:r>
      <w:r>
        <w:rPr>
          <w:b/>
          <w:spacing w:val="4"/>
          <w:sz w:val="20"/>
        </w:rPr>
        <w:t>O</w:t>
      </w:r>
      <w:r>
        <w:rPr>
          <w:b/>
          <w:spacing w:val="4"/>
          <w:sz w:val="20"/>
          <w:u w:val="single"/>
        </w:rPr>
        <w:t>i</w:t>
      </w:r>
      <w:r>
        <w:rPr>
          <w:b/>
          <w:spacing w:val="4"/>
          <w:sz w:val="20"/>
        </w:rPr>
        <w:t>l</w:t>
      </w:r>
    </w:p>
    <w:p w14:paraId="1F8283D9" w14:textId="77777777" w:rsidR="00ED0D76" w:rsidRDefault="00ED0D76" w:rsidP="00ED0D76">
      <w:pPr>
        <w:pStyle w:val="TableParagraph"/>
        <w:spacing w:before="1"/>
        <w:ind w:right="94"/>
        <w:jc w:val="both"/>
        <w:rPr>
          <w:b/>
          <w:sz w:val="20"/>
        </w:rPr>
      </w:pPr>
      <w:r>
        <w:rPr>
          <w:spacing w:val="-50"/>
          <w:w w:val="99"/>
          <w:sz w:val="20"/>
          <w:u w:val="double"/>
        </w:rPr>
        <w:t xml:space="preserve"> </w:t>
      </w:r>
      <w:r>
        <w:rPr>
          <w:b/>
          <w:sz w:val="20"/>
          <w:u w:val="double"/>
        </w:rPr>
        <w:t>Sequ</w:t>
      </w:r>
      <w:r>
        <w:rPr>
          <w:b/>
          <w:sz w:val="20"/>
          <w:u w:val="single"/>
        </w:rPr>
        <w:t>en</w:t>
      </w:r>
      <w:r>
        <w:rPr>
          <w:b/>
          <w:sz w:val="20"/>
        </w:rPr>
        <w:t>ces,” or ot</w:t>
      </w:r>
      <w:r>
        <w:rPr>
          <w:b/>
          <w:sz w:val="20"/>
          <w:u w:val="single"/>
        </w:rPr>
        <w:t>he</w:t>
      </w:r>
      <w:r>
        <w:rPr>
          <w:b/>
          <w:sz w:val="20"/>
        </w:rPr>
        <w:t xml:space="preserve">r </w:t>
      </w:r>
      <w:r>
        <w:rPr>
          <w:b/>
          <w:sz w:val="20"/>
          <w:u w:val="single"/>
        </w:rPr>
        <w:t>Vehicl</w:t>
      </w:r>
      <w:r>
        <w:rPr>
          <w:b/>
          <w:sz w:val="20"/>
        </w:rPr>
        <w:t>e or E</w:t>
      </w:r>
      <w:r>
        <w:rPr>
          <w:b/>
          <w:sz w:val="20"/>
          <w:u w:val="single"/>
        </w:rPr>
        <w:t>n</w:t>
      </w:r>
      <w:r>
        <w:rPr>
          <w:b/>
          <w:sz w:val="20"/>
        </w:rPr>
        <w:t>g</w:t>
      </w:r>
      <w:r>
        <w:rPr>
          <w:b/>
          <w:sz w:val="20"/>
          <w:u w:val="single"/>
        </w:rPr>
        <w:t>i</w:t>
      </w:r>
      <w:r>
        <w:rPr>
          <w:b/>
          <w:sz w:val="20"/>
        </w:rPr>
        <w:t>ne Manufa</w:t>
      </w:r>
      <w:r>
        <w:rPr>
          <w:b/>
          <w:sz w:val="20"/>
          <w:u w:val="single"/>
        </w:rPr>
        <w:t>c</w:t>
      </w:r>
      <w:r>
        <w:rPr>
          <w:b/>
          <w:sz w:val="20"/>
        </w:rPr>
        <w:t>t</w:t>
      </w:r>
      <w:r>
        <w:rPr>
          <w:b/>
          <w:sz w:val="20"/>
          <w:u w:val="single"/>
        </w:rPr>
        <w:t>ur</w:t>
      </w:r>
      <w:r>
        <w:rPr>
          <w:b/>
          <w:sz w:val="20"/>
        </w:rPr>
        <w:t>er standa</w:t>
      </w:r>
      <w:r>
        <w:rPr>
          <w:b/>
          <w:sz w:val="20"/>
          <w:u w:val="single"/>
        </w:rPr>
        <w:t>rd</w:t>
      </w:r>
      <w:r>
        <w:rPr>
          <w:b/>
          <w:sz w:val="20"/>
        </w:rPr>
        <w:t>s as app</w:t>
      </w:r>
      <w:r>
        <w:rPr>
          <w:b/>
          <w:sz w:val="20"/>
          <w:u w:val="single"/>
        </w:rPr>
        <w:t>r</w:t>
      </w:r>
      <w:r>
        <w:rPr>
          <w:b/>
          <w:sz w:val="20"/>
        </w:rPr>
        <w:t>ov</w:t>
      </w:r>
      <w:r>
        <w:rPr>
          <w:b/>
          <w:sz w:val="20"/>
          <w:u w:val="single"/>
        </w:rPr>
        <w:t>e</w:t>
      </w:r>
      <w:r>
        <w:rPr>
          <w:b/>
          <w:sz w:val="20"/>
        </w:rPr>
        <w:t xml:space="preserve">d </w:t>
      </w:r>
      <w:r>
        <w:rPr>
          <w:b/>
          <w:sz w:val="20"/>
          <w:u w:val="single"/>
        </w:rPr>
        <w:t>i</w:t>
      </w:r>
      <w:r>
        <w:rPr>
          <w:b/>
          <w:sz w:val="20"/>
        </w:rPr>
        <w:t>n Section 2.33.1.3.1.,</w:t>
      </w:r>
      <w:r>
        <w:rPr>
          <w:sz w:val="20"/>
        </w:rPr>
        <w:t xml:space="preserve">” </w:t>
      </w:r>
      <w:r>
        <w:rPr>
          <w:b/>
          <w:sz w:val="20"/>
          <w:u w:val="single"/>
        </w:rPr>
        <w:t>the</w:t>
      </w:r>
      <w:r>
        <w:rPr>
          <w:b/>
          <w:sz w:val="20"/>
        </w:rPr>
        <w:t xml:space="preserve"> </w:t>
      </w:r>
      <w:r>
        <w:rPr>
          <w:b/>
          <w:sz w:val="20"/>
          <w:u w:val="single"/>
        </w:rPr>
        <w:t>front</w:t>
      </w:r>
      <w:r>
        <w:rPr>
          <w:b/>
          <w:spacing w:val="-12"/>
          <w:sz w:val="20"/>
          <w:u w:val="single"/>
        </w:rPr>
        <w:t xml:space="preserve"> </w:t>
      </w:r>
      <w:r>
        <w:rPr>
          <w:b/>
          <w:sz w:val="20"/>
          <w:u w:val="single"/>
        </w:rPr>
        <w:t>or</w:t>
      </w:r>
      <w:r>
        <w:rPr>
          <w:b/>
          <w:spacing w:val="-14"/>
          <w:sz w:val="20"/>
          <w:u w:val="single"/>
        </w:rPr>
        <w:t xml:space="preserve"> </w:t>
      </w:r>
      <w:r>
        <w:rPr>
          <w:b/>
          <w:sz w:val="20"/>
          <w:u w:val="single"/>
        </w:rPr>
        <w:t>forward-facing</w:t>
      </w:r>
      <w:r>
        <w:rPr>
          <w:b/>
          <w:spacing w:val="-13"/>
          <w:sz w:val="20"/>
          <w:u w:val="single"/>
        </w:rPr>
        <w:t xml:space="preserve"> </w:t>
      </w:r>
      <w:r>
        <w:rPr>
          <w:b/>
          <w:sz w:val="20"/>
          <w:u w:val="single"/>
        </w:rPr>
        <w:t>label</w:t>
      </w:r>
      <w:r>
        <w:rPr>
          <w:b/>
          <w:spacing w:val="-11"/>
          <w:sz w:val="20"/>
        </w:rPr>
        <w:t xml:space="preserve"> </w:t>
      </w:r>
      <w:r>
        <w:rPr>
          <w:b/>
          <w:strike/>
          <w:sz w:val="20"/>
        </w:rPr>
        <w:t>If</w:t>
      </w:r>
      <w:r>
        <w:rPr>
          <w:b/>
          <w:strike/>
          <w:spacing w:val="-11"/>
          <w:sz w:val="20"/>
        </w:rPr>
        <w:t xml:space="preserve"> </w:t>
      </w:r>
      <w:r>
        <w:rPr>
          <w:b/>
          <w:strike/>
          <w:sz w:val="20"/>
        </w:rPr>
        <w:t>a</w:t>
      </w:r>
      <w:r>
        <w:rPr>
          <w:b/>
          <w:spacing w:val="-13"/>
          <w:sz w:val="20"/>
        </w:rPr>
        <w:t xml:space="preserve"> </w:t>
      </w:r>
      <w:r>
        <w:rPr>
          <w:b/>
          <w:sz w:val="20"/>
          <w:u w:val="single"/>
        </w:rPr>
        <w:t>of</w:t>
      </w:r>
      <w:r>
        <w:rPr>
          <w:b/>
          <w:spacing w:val="-13"/>
          <w:sz w:val="20"/>
          <w:u w:val="single"/>
        </w:rPr>
        <w:t xml:space="preserve"> </w:t>
      </w:r>
      <w:r>
        <w:rPr>
          <w:b/>
          <w:sz w:val="20"/>
          <w:u w:val="single"/>
        </w:rPr>
        <w:t>such</w:t>
      </w:r>
      <w:r>
        <w:rPr>
          <w:b/>
          <w:spacing w:val="-12"/>
          <w:sz w:val="20"/>
        </w:rPr>
        <w:t xml:space="preserve"> </w:t>
      </w:r>
      <w:r>
        <w:rPr>
          <w:sz w:val="20"/>
        </w:rPr>
        <w:t>vehicle</w:t>
      </w:r>
      <w:r>
        <w:rPr>
          <w:spacing w:val="-11"/>
          <w:sz w:val="20"/>
        </w:rPr>
        <w:t xml:space="preserve"> </w:t>
      </w:r>
      <w:r>
        <w:rPr>
          <w:sz w:val="20"/>
        </w:rPr>
        <w:t>engine</w:t>
      </w:r>
      <w:r>
        <w:rPr>
          <w:spacing w:val="-14"/>
          <w:sz w:val="20"/>
        </w:rPr>
        <w:t xml:space="preserve"> </w:t>
      </w:r>
      <w:r>
        <w:rPr>
          <w:sz w:val="20"/>
        </w:rPr>
        <w:t>(motor)</w:t>
      </w:r>
      <w:r>
        <w:rPr>
          <w:spacing w:val="-13"/>
          <w:sz w:val="20"/>
        </w:rPr>
        <w:t xml:space="preserve"> </w:t>
      </w:r>
      <w:r>
        <w:rPr>
          <w:sz w:val="20"/>
        </w:rPr>
        <w:t>oil</w:t>
      </w:r>
      <w:r>
        <w:rPr>
          <w:spacing w:val="-10"/>
          <w:sz w:val="20"/>
        </w:rPr>
        <w:t xml:space="preserve"> </w:t>
      </w:r>
      <w:r>
        <w:rPr>
          <w:b/>
          <w:sz w:val="20"/>
          <w:u w:val="single"/>
        </w:rPr>
        <w:t>container,</w:t>
      </w:r>
      <w:r>
        <w:rPr>
          <w:b/>
          <w:spacing w:val="-11"/>
          <w:sz w:val="20"/>
          <w:u w:val="single"/>
        </w:rPr>
        <w:t xml:space="preserve"> </w:t>
      </w:r>
      <w:r>
        <w:rPr>
          <w:b/>
          <w:sz w:val="20"/>
          <w:u w:val="single"/>
        </w:rPr>
        <w:t>receptacle,</w:t>
      </w:r>
      <w:r>
        <w:rPr>
          <w:b/>
          <w:spacing w:val="-11"/>
          <w:sz w:val="20"/>
          <w:u w:val="single"/>
        </w:rPr>
        <w:t xml:space="preserve"> </w:t>
      </w:r>
      <w:r>
        <w:rPr>
          <w:b/>
          <w:sz w:val="20"/>
          <w:u w:val="single"/>
        </w:rPr>
        <w:t>dispenser,</w:t>
      </w:r>
      <w:r>
        <w:rPr>
          <w:b/>
          <w:spacing w:val="-11"/>
          <w:sz w:val="20"/>
          <w:u w:val="single"/>
        </w:rPr>
        <w:t xml:space="preserve"> </w:t>
      </w:r>
      <w:r>
        <w:rPr>
          <w:b/>
          <w:sz w:val="20"/>
          <w:u w:val="single"/>
        </w:rPr>
        <w:t>or</w:t>
      </w:r>
      <w:r>
        <w:rPr>
          <w:b/>
          <w:spacing w:val="-12"/>
          <w:sz w:val="20"/>
          <w:u w:val="single"/>
        </w:rPr>
        <w:t xml:space="preserve"> </w:t>
      </w:r>
      <w:r>
        <w:rPr>
          <w:b/>
          <w:sz w:val="20"/>
          <w:u w:val="single"/>
        </w:rPr>
        <w:t>storage</w:t>
      </w:r>
      <w:r>
        <w:rPr>
          <w:b/>
          <w:sz w:val="20"/>
        </w:rPr>
        <w:t xml:space="preserve"> </w:t>
      </w:r>
      <w:r>
        <w:rPr>
          <w:b/>
          <w:sz w:val="20"/>
          <w:u w:val="single"/>
        </w:rPr>
        <w:t>tank</w:t>
      </w:r>
      <w:r>
        <w:rPr>
          <w:b/>
          <w:spacing w:val="-5"/>
          <w:sz w:val="20"/>
          <w:u w:val="single"/>
        </w:rPr>
        <w:t xml:space="preserve"> </w:t>
      </w:r>
      <w:r>
        <w:rPr>
          <w:b/>
          <w:sz w:val="20"/>
          <w:u w:val="single"/>
        </w:rPr>
        <w:t>and</w:t>
      </w:r>
      <w:r>
        <w:rPr>
          <w:b/>
          <w:spacing w:val="-7"/>
          <w:sz w:val="20"/>
          <w:u w:val="single"/>
        </w:rPr>
        <w:t xml:space="preserve"> </w:t>
      </w:r>
      <w:r>
        <w:rPr>
          <w:b/>
          <w:sz w:val="20"/>
          <w:u w:val="single"/>
        </w:rPr>
        <w:t>the</w:t>
      </w:r>
      <w:r>
        <w:rPr>
          <w:b/>
          <w:spacing w:val="-6"/>
          <w:sz w:val="20"/>
          <w:u w:val="single"/>
        </w:rPr>
        <w:t xml:space="preserve"> </w:t>
      </w:r>
      <w:r>
        <w:rPr>
          <w:b/>
          <w:sz w:val="20"/>
          <w:u w:val="single"/>
        </w:rPr>
        <w:t>invoice</w:t>
      </w:r>
      <w:r>
        <w:rPr>
          <w:b/>
          <w:spacing w:val="-6"/>
          <w:sz w:val="20"/>
          <w:u w:val="single"/>
        </w:rPr>
        <w:t xml:space="preserve"> </w:t>
      </w:r>
      <w:r>
        <w:rPr>
          <w:b/>
          <w:sz w:val="20"/>
          <w:u w:val="single"/>
        </w:rPr>
        <w:t>or</w:t>
      </w:r>
      <w:r>
        <w:rPr>
          <w:b/>
          <w:spacing w:val="-5"/>
          <w:sz w:val="20"/>
          <w:u w:val="single"/>
        </w:rPr>
        <w:t xml:space="preserve"> </w:t>
      </w:r>
      <w:r>
        <w:rPr>
          <w:b/>
          <w:sz w:val="20"/>
          <w:u w:val="single"/>
        </w:rPr>
        <w:t>receipt</w:t>
      </w:r>
      <w:r>
        <w:rPr>
          <w:b/>
          <w:spacing w:val="-5"/>
          <w:sz w:val="20"/>
          <w:u w:val="single"/>
        </w:rPr>
        <w:t xml:space="preserve"> </w:t>
      </w:r>
      <w:r>
        <w:rPr>
          <w:b/>
          <w:sz w:val="20"/>
          <w:u w:val="single"/>
        </w:rPr>
        <w:t>from</w:t>
      </w:r>
      <w:r>
        <w:rPr>
          <w:b/>
          <w:spacing w:val="-5"/>
          <w:sz w:val="20"/>
          <w:u w:val="single"/>
        </w:rPr>
        <w:t xml:space="preserve"> </w:t>
      </w:r>
      <w:r>
        <w:rPr>
          <w:b/>
          <w:sz w:val="20"/>
          <w:u w:val="single"/>
        </w:rPr>
        <w:t>service</w:t>
      </w:r>
      <w:r>
        <w:rPr>
          <w:b/>
          <w:spacing w:val="-5"/>
          <w:sz w:val="20"/>
          <w:u w:val="single"/>
        </w:rPr>
        <w:t xml:space="preserve"> </w:t>
      </w:r>
      <w:r>
        <w:rPr>
          <w:b/>
          <w:sz w:val="20"/>
          <w:u w:val="single"/>
        </w:rPr>
        <w:t>on</w:t>
      </w:r>
      <w:r>
        <w:rPr>
          <w:b/>
          <w:spacing w:val="-6"/>
          <w:sz w:val="20"/>
          <w:u w:val="single"/>
        </w:rPr>
        <w:t xml:space="preserve"> </w:t>
      </w:r>
      <w:r>
        <w:rPr>
          <w:b/>
          <w:sz w:val="20"/>
          <w:u w:val="single"/>
        </w:rPr>
        <w:t>an</w:t>
      </w:r>
      <w:r>
        <w:rPr>
          <w:b/>
          <w:spacing w:val="-6"/>
          <w:sz w:val="20"/>
          <w:u w:val="single"/>
        </w:rPr>
        <w:t xml:space="preserve"> </w:t>
      </w:r>
      <w:r>
        <w:rPr>
          <w:b/>
          <w:sz w:val="20"/>
          <w:u w:val="single"/>
        </w:rPr>
        <w:t>engine</w:t>
      </w:r>
      <w:r>
        <w:rPr>
          <w:b/>
          <w:spacing w:val="-7"/>
          <w:sz w:val="20"/>
          <w:u w:val="single"/>
        </w:rPr>
        <w:t xml:space="preserve"> </w:t>
      </w:r>
      <w:r>
        <w:rPr>
          <w:b/>
          <w:sz w:val="20"/>
          <w:u w:val="single"/>
        </w:rPr>
        <w:t>that</w:t>
      </w:r>
      <w:r>
        <w:rPr>
          <w:b/>
          <w:spacing w:val="-5"/>
          <w:sz w:val="20"/>
          <w:u w:val="single"/>
        </w:rPr>
        <w:t xml:space="preserve"> </w:t>
      </w:r>
      <w:r>
        <w:rPr>
          <w:b/>
          <w:sz w:val="20"/>
          <w:u w:val="single"/>
        </w:rPr>
        <w:t>includes</w:t>
      </w:r>
      <w:r>
        <w:rPr>
          <w:b/>
          <w:spacing w:val="-6"/>
          <w:sz w:val="20"/>
          <w:u w:val="single"/>
        </w:rPr>
        <w:t xml:space="preserve"> </w:t>
      </w:r>
      <w:r>
        <w:rPr>
          <w:b/>
          <w:sz w:val="20"/>
          <w:u w:val="single"/>
        </w:rPr>
        <w:t>the</w:t>
      </w:r>
      <w:r>
        <w:rPr>
          <w:b/>
          <w:spacing w:val="-6"/>
          <w:sz w:val="20"/>
          <w:u w:val="single"/>
        </w:rPr>
        <w:t xml:space="preserve"> </w:t>
      </w:r>
      <w:r>
        <w:rPr>
          <w:b/>
          <w:sz w:val="20"/>
          <w:u w:val="single"/>
        </w:rPr>
        <w:t>installation</w:t>
      </w:r>
      <w:r>
        <w:rPr>
          <w:b/>
          <w:spacing w:val="-5"/>
          <w:sz w:val="20"/>
          <w:u w:val="single"/>
        </w:rPr>
        <w:t xml:space="preserve"> </w:t>
      </w:r>
      <w:r>
        <w:rPr>
          <w:b/>
          <w:sz w:val="20"/>
          <w:u w:val="single"/>
        </w:rPr>
        <w:t>of</w:t>
      </w:r>
      <w:r>
        <w:rPr>
          <w:b/>
          <w:spacing w:val="-5"/>
          <w:sz w:val="20"/>
          <w:u w:val="single"/>
        </w:rPr>
        <w:t xml:space="preserve"> </w:t>
      </w:r>
      <w:r>
        <w:rPr>
          <w:b/>
          <w:sz w:val="20"/>
          <w:u w:val="single"/>
        </w:rPr>
        <w:t>bulk</w:t>
      </w:r>
      <w:r>
        <w:rPr>
          <w:b/>
          <w:spacing w:val="-4"/>
          <w:sz w:val="20"/>
          <w:u w:val="single"/>
        </w:rPr>
        <w:t xml:space="preserve"> </w:t>
      </w:r>
      <w:r>
        <w:rPr>
          <w:b/>
          <w:sz w:val="20"/>
          <w:u w:val="single"/>
        </w:rPr>
        <w:t>vehicle</w:t>
      </w:r>
      <w:r>
        <w:rPr>
          <w:b/>
          <w:spacing w:val="-6"/>
          <w:sz w:val="20"/>
          <w:u w:val="single"/>
        </w:rPr>
        <w:t xml:space="preserve"> </w:t>
      </w:r>
      <w:r>
        <w:rPr>
          <w:b/>
          <w:sz w:val="20"/>
          <w:u w:val="single"/>
        </w:rPr>
        <w:t>engine</w:t>
      </w:r>
      <w:r>
        <w:rPr>
          <w:b/>
          <w:sz w:val="20"/>
        </w:rPr>
        <w:t xml:space="preserve"> </w:t>
      </w:r>
      <w:r>
        <w:rPr>
          <w:b/>
          <w:sz w:val="20"/>
          <w:u w:val="single"/>
        </w:rPr>
        <w:t>(motor) oil dispensed from a receptacle, dispenser or storage tank shall bear the plainly-visible cautionary</w:t>
      </w:r>
      <w:r>
        <w:rPr>
          <w:b/>
          <w:sz w:val="20"/>
        </w:rPr>
        <w:t xml:space="preserve"> </w:t>
      </w:r>
      <w:r>
        <w:rPr>
          <w:b/>
          <w:sz w:val="20"/>
          <w:u w:val="single"/>
        </w:rPr>
        <w:t>statement set forth in the latest version of SAE J183, Appendix A. Whenever any vehicle engine (motor) oil</w:t>
      </w:r>
      <w:r>
        <w:rPr>
          <w:b/>
          <w:sz w:val="20"/>
        </w:rPr>
        <w:t xml:space="preserve"> </w:t>
      </w:r>
      <w:r>
        <w:rPr>
          <w:b/>
          <w:sz w:val="20"/>
          <w:u w:val="single"/>
        </w:rPr>
        <w:t>is declared obsolete by a vehicle or engine manufacturer, the front of forward-facing label of such vehicle</w:t>
      </w:r>
      <w:r>
        <w:rPr>
          <w:b/>
          <w:sz w:val="20"/>
        </w:rPr>
        <w:t xml:space="preserve"> </w:t>
      </w:r>
      <w:r>
        <w:rPr>
          <w:b/>
          <w:sz w:val="20"/>
          <w:u w:val="single"/>
        </w:rPr>
        <w:t>engine</w:t>
      </w:r>
      <w:r>
        <w:rPr>
          <w:b/>
          <w:spacing w:val="-7"/>
          <w:sz w:val="20"/>
          <w:u w:val="single"/>
        </w:rPr>
        <w:t xml:space="preserve"> </w:t>
      </w:r>
      <w:r>
        <w:rPr>
          <w:b/>
          <w:sz w:val="20"/>
          <w:u w:val="single"/>
        </w:rPr>
        <w:t>(motor)</w:t>
      </w:r>
      <w:r>
        <w:rPr>
          <w:b/>
          <w:spacing w:val="-5"/>
          <w:sz w:val="20"/>
          <w:u w:val="single"/>
        </w:rPr>
        <w:t xml:space="preserve"> </w:t>
      </w:r>
      <w:r>
        <w:rPr>
          <w:b/>
          <w:sz w:val="20"/>
          <w:u w:val="single"/>
        </w:rPr>
        <w:t>oil</w:t>
      </w:r>
      <w:r>
        <w:rPr>
          <w:b/>
          <w:spacing w:val="-6"/>
          <w:sz w:val="20"/>
          <w:u w:val="single"/>
        </w:rPr>
        <w:t xml:space="preserve"> </w:t>
      </w:r>
      <w:r>
        <w:rPr>
          <w:b/>
          <w:sz w:val="20"/>
          <w:u w:val="single"/>
        </w:rPr>
        <w:t>container,</w:t>
      </w:r>
      <w:r>
        <w:rPr>
          <w:b/>
          <w:spacing w:val="-5"/>
          <w:sz w:val="20"/>
          <w:u w:val="single"/>
        </w:rPr>
        <w:t xml:space="preserve"> </w:t>
      </w:r>
      <w:r>
        <w:rPr>
          <w:b/>
          <w:sz w:val="20"/>
          <w:u w:val="single"/>
        </w:rPr>
        <w:t>receptacle,</w:t>
      </w:r>
      <w:r>
        <w:rPr>
          <w:b/>
          <w:spacing w:val="-5"/>
          <w:sz w:val="20"/>
          <w:u w:val="single"/>
        </w:rPr>
        <w:t xml:space="preserve"> </w:t>
      </w:r>
      <w:r>
        <w:rPr>
          <w:b/>
          <w:sz w:val="20"/>
          <w:u w:val="single"/>
        </w:rPr>
        <w:t>dispenser</w:t>
      </w:r>
      <w:r>
        <w:rPr>
          <w:b/>
          <w:spacing w:val="-5"/>
          <w:sz w:val="20"/>
          <w:u w:val="single"/>
        </w:rPr>
        <w:t xml:space="preserve"> </w:t>
      </w:r>
      <w:r>
        <w:rPr>
          <w:b/>
          <w:sz w:val="20"/>
          <w:u w:val="single"/>
        </w:rPr>
        <w:t>or</w:t>
      </w:r>
      <w:r>
        <w:rPr>
          <w:b/>
          <w:spacing w:val="-3"/>
          <w:sz w:val="20"/>
          <w:u w:val="single"/>
        </w:rPr>
        <w:t xml:space="preserve"> </w:t>
      </w:r>
      <w:r>
        <w:rPr>
          <w:b/>
          <w:sz w:val="20"/>
          <w:u w:val="single"/>
        </w:rPr>
        <w:t>storage</w:t>
      </w:r>
      <w:r>
        <w:rPr>
          <w:b/>
          <w:spacing w:val="-5"/>
          <w:sz w:val="20"/>
          <w:u w:val="single"/>
        </w:rPr>
        <w:t xml:space="preserve"> </w:t>
      </w:r>
      <w:r>
        <w:rPr>
          <w:b/>
          <w:sz w:val="20"/>
          <w:u w:val="single"/>
        </w:rPr>
        <w:t>tank</w:t>
      </w:r>
      <w:r>
        <w:rPr>
          <w:b/>
          <w:spacing w:val="-7"/>
          <w:sz w:val="20"/>
          <w:u w:val="single"/>
        </w:rPr>
        <w:t xml:space="preserve"> </w:t>
      </w:r>
      <w:r>
        <w:rPr>
          <w:b/>
          <w:sz w:val="20"/>
          <w:u w:val="single"/>
        </w:rPr>
        <w:t>and</w:t>
      </w:r>
      <w:r>
        <w:rPr>
          <w:b/>
          <w:spacing w:val="-7"/>
          <w:sz w:val="20"/>
          <w:u w:val="single"/>
        </w:rPr>
        <w:t xml:space="preserve"> </w:t>
      </w:r>
      <w:r>
        <w:rPr>
          <w:b/>
          <w:sz w:val="20"/>
          <w:u w:val="single"/>
        </w:rPr>
        <w:t>the</w:t>
      </w:r>
      <w:r>
        <w:rPr>
          <w:b/>
          <w:spacing w:val="-6"/>
          <w:sz w:val="20"/>
          <w:u w:val="single"/>
        </w:rPr>
        <w:t xml:space="preserve"> </w:t>
      </w:r>
      <w:r>
        <w:rPr>
          <w:b/>
          <w:sz w:val="20"/>
          <w:u w:val="single"/>
        </w:rPr>
        <w:t>invoice</w:t>
      </w:r>
      <w:r>
        <w:rPr>
          <w:b/>
          <w:spacing w:val="-6"/>
          <w:sz w:val="20"/>
          <w:u w:val="single"/>
        </w:rPr>
        <w:t xml:space="preserve"> </w:t>
      </w:r>
      <w:r>
        <w:rPr>
          <w:b/>
          <w:sz w:val="20"/>
          <w:u w:val="single"/>
        </w:rPr>
        <w:t>or</w:t>
      </w:r>
      <w:r>
        <w:rPr>
          <w:b/>
          <w:spacing w:val="-5"/>
          <w:sz w:val="20"/>
          <w:u w:val="single"/>
        </w:rPr>
        <w:t xml:space="preserve"> </w:t>
      </w:r>
      <w:r>
        <w:rPr>
          <w:b/>
          <w:sz w:val="20"/>
          <w:u w:val="single"/>
        </w:rPr>
        <w:t>receipt</w:t>
      </w:r>
      <w:r>
        <w:rPr>
          <w:b/>
          <w:spacing w:val="-5"/>
          <w:sz w:val="20"/>
          <w:u w:val="single"/>
        </w:rPr>
        <w:t xml:space="preserve"> </w:t>
      </w:r>
      <w:r>
        <w:rPr>
          <w:b/>
          <w:sz w:val="20"/>
          <w:u w:val="single"/>
        </w:rPr>
        <w:t>from</w:t>
      </w:r>
      <w:r>
        <w:rPr>
          <w:b/>
          <w:spacing w:val="-4"/>
          <w:sz w:val="20"/>
          <w:u w:val="single"/>
        </w:rPr>
        <w:t xml:space="preserve"> </w:t>
      </w:r>
      <w:r>
        <w:rPr>
          <w:b/>
          <w:sz w:val="20"/>
          <w:u w:val="single"/>
        </w:rPr>
        <w:t>service</w:t>
      </w:r>
      <w:r>
        <w:rPr>
          <w:b/>
          <w:spacing w:val="-5"/>
          <w:sz w:val="20"/>
          <w:u w:val="single"/>
        </w:rPr>
        <w:t xml:space="preserve"> </w:t>
      </w:r>
      <w:r>
        <w:rPr>
          <w:b/>
          <w:sz w:val="20"/>
          <w:u w:val="single"/>
        </w:rPr>
        <w:t>on</w:t>
      </w:r>
      <w:r>
        <w:rPr>
          <w:b/>
          <w:sz w:val="20"/>
        </w:rPr>
        <w:t xml:space="preserve"> </w:t>
      </w:r>
      <w:r>
        <w:rPr>
          <w:b/>
          <w:sz w:val="20"/>
          <w:u w:val="single"/>
        </w:rPr>
        <w:t>an engine that includes the installation of bulk vehicle engine (motor) oil dispensed from a receptacle,</w:t>
      </w:r>
      <w:r>
        <w:rPr>
          <w:b/>
          <w:sz w:val="20"/>
        </w:rPr>
        <w:t xml:space="preserve"> </w:t>
      </w:r>
      <w:r>
        <w:rPr>
          <w:b/>
          <w:sz w:val="20"/>
          <w:u w:val="single"/>
        </w:rPr>
        <w:t>dispenser, or storage tank shall bear the plainly-visible cautionary statement required by the vehicle or</w:t>
      </w:r>
      <w:r>
        <w:rPr>
          <w:b/>
          <w:sz w:val="20"/>
        </w:rPr>
        <w:t xml:space="preserve"> </w:t>
      </w:r>
      <w:r>
        <w:rPr>
          <w:b/>
          <w:sz w:val="20"/>
          <w:u w:val="single"/>
        </w:rPr>
        <w:t>engine</w:t>
      </w:r>
      <w:r>
        <w:rPr>
          <w:b/>
          <w:spacing w:val="-2"/>
          <w:sz w:val="20"/>
          <w:u w:val="single"/>
        </w:rPr>
        <w:t xml:space="preserve"> </w:t>
      </w:r>
      <w:r>
        <w:rPr>
          <w:b/>
          <w:sz w:val="20"/>
          <w:u w:val="single"/>
        </w:rPr>
        <w:t>manufacturer.</w:t>
      </w:r>
    </w:p>
    <w:p w14:paraId="2086D083" w14:textId="7025152E" w:rsidR="00ED0D76" w:rsidRDefault="00ED0D76" w:rsidP="00ED0D76">
      <w:pPr>
        <w:pStyle w:val="TableParagraph"/>
        <w:spacing w:after="240"/>
        <w:ind w:left="90" w:right="97"/>
        <w:jc w:val="both"/>
        <w:rPr>
          <w:sz w:val="20"/>
        </w:rPr>
      </w:pPr>
      <w:r>
        <w:rPr>
          <w:sz w:val="20"/>
        </w:rPr>
        <w:t>(Added 2012) (Amended 2014</w:t>
      </w:r>
      <w:r>
        <w:rPr>
          <w:sz w:val="20"/>
          <w:u w:val="single"/>
        </w:rPr>
        <w:t xml:space="preserve"> </w:t>
      </w:r>
      <w:r>
        <w:rPr>
          <w:b/>
          <w:sz w:val="20"/>
          <w:u w:val="single"/>
        </w:rPr>
        <w:t>and 20XX</w:t>
      </w:r>
      <w:r>
        <w:rPr>
          <w:sz w:val="20"/>
        </w:rPr>
        <w:t>)</w:t>
      </w:r>
    </w:p>
    <w:p w14:paraId="5FBF4CE3" w14:textId="77777777" w:rsidR="00ED0D76" w:rsidRDefault="00ED0D76" w:rsidP="00ED0D76">
      <w:pPr>
        <w:pStyle w:val="TableParagraph"/>
        <w:spacing w:before="1"/>
        <w:jc w:val="both"/>
        <w:rPr>
          <w:b/>
          <w:sz w:val="20"/>
        </w:rPr>
      </w:pPr>
      <w:r>
        <w:rPr>
          <w:b/>
          <w:sz w:val="20"/>
        </w:rPr>
        <w:t>ILMA Revision (Concept 2):</w:t>
      </w:r>
    </w:p>
    <w:p w14:paraId="48F579C7" w14:textId="77777777" w:rsidR="00ED0D76" w:rsidRDefault="00ED0D76" w:rsidP="00ED0D76">
      <w:pPr>
        <w:pStyle w:val="TableParagraph"/>
        <w:spacing w:before="10"/>
        <w:ind w:left="0"/>
        <w:rPr>
          <w:sz w:val="20"/>
        </w:rPr>
      </w:pPr>
    </w:p>
    <w:p w14:paraId="0C4DB4EB" w14:textId="77777777" w:rsidR="00ED0D76" w:rsidRDefault="00ED0D76" w:rsidP="00ED0D76">
      <w:pPr>
        <w:pStyle w:val="TableParagraph"/>
        <w:ind w:right="93"/>
        <w:jc w:val="both"/>
        <w:rPr>
          <w:b/>
          <w:sz w:val="20"/>
        </w:rPr>
      </w:pPr>
      <w:r>
        <w:rPr>
          <w:b/>
          <w:sz w:val="20"/>
        </w:rPr>
        <w:t>2.33.1.3.2. Inactive or Obsolete Service Categories. –</w:t>
      </w:r>
      <w:r>
        <w:rPr>
          <w:b/>
          <w:strike/>
          <w:sz w:val="20"/>
        </w:rPr>
        <w:t xml:space="preserve">The label on any vehicle engine (motor) oil container, </w:t>
      </w:r>
      <w:r>
        <w:rPr>
          <w:b/>
          <w:strike/>
          <w:sz w:val="20"/>
        </w:rPr>
        <w:lastRenderedPageBreak/>
        <w:t>receptacle, dispenser, or storage tank and the invoice or receipt from service on an engine that includes the installation of bulk vehicle engine (motor) oil dispensed from a receptacle, dispenser, or storage tank shall bear a plainly visible cautionary statement in compliance with the latest version of SAE J183, Appendix A,</w:t>
      </w:r>
      <w:r>
        <w:rPr>
          <w:b/>
          <w:sz w:val="20"/>
          <w:u w:val="single"/>
        </w:rPr>
        <w:t xml:space="preserve"> W</w:t>
      </w:r>
      <w:r>
        <w:rPr>
          <w:sz w:val="20"/>
        </w:rPr>
        <w:t xml:space="preserve">henever </w:t>
      </w:r>
      <w:r>
        <w:rPr>
          <w:b/>
          <w:strike/>
          <w:sz w:val="20"/>
        </w:rPr>
        <w:t>the</w:t>
      </w:r>
      <w:r>
        <w:rPr>
          <w:b/>
          <w:sz w:val="20"/>
        </w:rPr>
        <w:t xml:space="preserve"> </w:t>
      </w:r>
      <w:r>
        <w:rPr>
          <w:b/>
          <w:sz w:val="20"/>
          <w:u w:val="single"/>
        </w:rPr>
        <w:t>any</w:t>
      </w:r>
      <w:r>
        <w:rPr>
          <w:b/>
          <w:sz w:val="20"/>
        </w:rPr>
        <w:t xml:space="preserve"> </w:t>
      </w:r>
      <w:r>
        <w:rPr>
          <w:sz w:val="20"/>
        </w:rPr>
        <w:t xml:space="preserve">vehicle engine (motor) oil in </w:t>
      </w:r>
      <w:r>
        <w:rPr>
          <w:b/>
          <w:strike/>
          <w:sz w:val="20"/>
        </w:rPr>
        <w:t>the</w:t>
      </w:r>
      <w:r>
        <w:rPr>
          <w:b/>
          <w:sz w:val="20"/>
        </w:rPr>
        <w:t xml:space="preserve"> </w:t>
      </w:r>
      <w:r>
        <w:rPr>
          <w:b/>
          <w:sz w:val="20"/>
          <w:u w:val="single"/>
        </w:rPr>
        <w:t>a</w:t>
      </w:r>
      <w:r>
        <w:rPr>
          <w:b/>
          <w:sz w:val="20"/>
        </w:rPr>
        <w:t xml:space="preserve"> </w:t>
      </w:r>
      <w:r>
        <w:rPr>
          <w:sz w:val="20"/>
        </w:rPr>
        <w:t>container</w:t>
      </w:r>
      <w:r>
        <w:rPr>
          <w:b/>
          <w:sz w:val="20"/>
          <w:u w:val="single"/>
        </w:rPr>
        <w:t>, receptacle, dispenser, storage tank,</w:t>
      </w:r>
      <w:r>
        <w:rPr>
          <w:b/>
          <w:sz w:val="20"/>
        </w:rPr>
        <w:t xml:space="preserve"> </w:t>
      </w:r>
      <w:r>
        <w:rPr>
          <w:sz w:val="20"/>
        </w:rPr>
        <w:t>or in bulk does</w:t>
      </w:r>
      <w:r>
        <w:rPr>
          <w:spacing w:val="-14"/>
          <w:sz w:val="20"/>
        </w:rPr>
        <w:t xml:space="preserve"> </w:t>
      </w:r>
      <w:r>
        <w:rPr>
          <w:sz w:val="20"/>
        </w:rPr>
        <w:t>not</w:t>
      </w:r>
      <w:r>
        <w:rPr>
          <w:spacing w:val="-13"/>
          <w:sz w:val="20"/>
        </w:rPr>
        <w:t xml:space="preserve"> </w:t>
      </w:r>
      <w:r>
        <w:rPr>
          <w:sz w:val="20"/>
        </w:rPr>
        <w:t>meet</w:t>
      </w:r>
      <w:r>
        <w:rPr>
          <w:spacing w:val="-13"/>
          <w:sz w:val="20"/>
        </w:rPr>
        <w:t xml:space="preserve"> </w:t>
      </w:r>
      <w:r>
        <w:rPr>
          <w:sz w:val="20"/>
        </w:rPr>
        <w:t>an</w:t>
      </w:r>
      <w:r>
        <w:rPr>
          <w:spacing w:val="-12"/>
          <w:sz w:val="20"/>
        </w:rPr>
        <w:t xml:space="preserve"> </w:t>
      </w:r>
      <w:r>
        <w:rPr>
          <w:sz w:val="20"/>
        </w:rPr>
        <w:t>active</w:t>
      </w:r>
      <w:r>
        <w:rPr>
          <w:spacing w:val="-13"/>
          <w:sz w:val="20"/>
        </w:rPr>
        <w:t xml:space="preserve"> </w:t>
      </w:r>
      <w:r>
        <w:rPr>
          <w:sz w:val="20"/>
        </w:rPr>
        <w:t>API</w:t>
      </w:r>
      <w:r>
        <w:rPr>
          <w:spacing w:val="-13"/>
          <w:sz w:val="20"/>
        </w:rPr>
        <w:t xml:space="preserve"> </w:t>
      </w:r>
      <w:r>
        <w:rPr>
          <w:sz w:val="20"/>
        </w:rPr>
        <w:t>service</w:t>
      </w:r>
      <w:r>
        <w:rPr>
          <w:spacing w:val="-10"/>
          <w:sz w:val="20"/>
        </w:rPr>
        <w:t xml:space="preserve"> </w:t>
      </w:r>
      <w:r>
        <w:rPr>
          <w:sz w:val="20"/>
        </w:rPr>
        <w:t>category</w:t>
      </w:r>
      <w:r>
        <w:rPr>
          <w:spacing w:val="-12"/>
          <w:sz w:val="20"/>
        </w:rPr>
        <w:t xml:space="preserve"> </w:t>
      </w:r>
      <w:r>
        <w:rPr>
          <w:sz w:val="20"/>
        </w:rPr>
        <w:t>as</w:t>
      </w:r>
      <w:r>
        <w:rPr>
          <w:spacing w:val="-13"/>
          <w:sz w:val="20"/>
        </w:rPr>
        <w:t xml:space="preserve"> </w:t>
      </w:r>
      <w:r>
        <w:rPr>
          <w:sz w:val="20"/>
        </w:rPr>
        <w:t>defined</w:t>
      </w:r>
      <w:r>
        <w:rPr>
          <w:spacing w:val="-12"/>
          <w:sz w:val="20"/>
        </w:rPr>
        <w:t xml:space="preserve"> </w:t>
      </w:r>
      <w:r>
        <w:rPr>
          <w:sz w:val="20"/>
        </w:rPr>
        <w:t>by</w:t>
      </w:r>
      <w:r>
        <w:rPr>
          <w:spacing w:val="-12"/>
          <w:sz w:val="20"/>
        </w:rPr>
        <w:t xml:space="preserve"> </w:t>
      </w:r>
      <w:r>
        <w:rPr>
          <w:sz w:val="20"/>
        </w:rPr>
        <w:t>the</w:t>
      </w:r>
      <w:r>
        <w:rPr>
          <w:spacing w:val="-13"/>
          <w:sz w:val="20"/>
        </w:rPr>
        <w:t xml:space="preserve"> </w:t>
      </w:r>
      <w:r>
        <w:rPr>
          <w:sz w:val="20"/>
        </w:rPr>
        <w:t>latest</w:t>
      </w:r>
      <w:r>
        <w:rPr>
          <w:spacing w:val="-14"/>
          <w:sz w:val="20"/>
        </w:rPr>
        <w:t xml:space="preserve"> </w:t>
      </w:r>
      <w:r>
        <w:rPr>
          <w:sz w:val="20"/>
        </w:rPr>
        <w:t>version</w:t>
      </w:r>
      <w:r>
        <w:rPr>
          <w:spacing w:val="-12"/>
          <w:sz w:val="20"/>
        </w:rPr>
        <w:t xml:space="preserve"> </w:t>
      </w:r>
      <w:r>
        <w:rPr>
          <w:sz w:val="20"/>
        </w:rPr>
        <w:t>of</w:t>
      </w:r>
      <w:r>
        <w:rPr>
          <w:spacing w:val="-13"/>
          <w:sz w:val="20"/>
        </w:rPr>
        <w:t xml:space="preserve"> </w:t>
      </w:r>
      <w:r>
        <w:rPr>
          <w:sz w:val="20"/>
        </w:rPr>
        <w:t>SAE</w:t>
      </w:r>
      <w:r>
        <w:rPr>
          <w:spacing w:val="3"/>
          <w:sz w:val="20"/>
        </w:rPr>
        <w:t xml:space="preserve"> </w:t>
      </w:r>
      <w:r>
        <w:rPr>
          <w:sz w:val="20"/>
        </w:rPr>
        <w:t>J183,</w:t>
      </w:r>
      <w:r>
        <w:rPr>
          <w:spacing w:val="-13"/>
          <w:sz w:val="20"/>
        </w:rPr>
        <w:t xml:space="preserve"> </w:t>
      </w:r>
      <w:r>
        <w:rPr>
          <w:sz w:val="20"/>
        </w:rPr>
        <w:t>“Engine</w:t>
      </w:r>
      <w:r>
        <w:rPr>
          <w:spacing w:val="-13"/>
          <w:sz w:val="20"/>
        </w:rPr>
        <w:t xml:space="preserve"> </w:t>
      </w:r>
      <w:r>
        <w:rPr>
          <w:sz w:val="20"/>
        </w:rPr>
        <w:t>Oil</w:t>
      </w:r>
      <w:r>
        <w:rPr>
          <w:spacing w:val="-13"/>
          <w:sz w:val="20"/>
        </w:rPr>
        <w:t xml:space="preserve"> </w:t>
      </w:r>
      <w:r>
        <w:rPr>
          <w:sz w:val="20"/>
        </w:rPr>
        <w:t>Performance and</w:t>
      </w:r>
      <w:r>
        <w:rPr>
          <w:spacing w:val="-11"/>
          <w:sz w:val="20"/>
        </w:rPr>
        <w:t xml:space="preserve"> </w:t>
      </w:r>
      <w:r>
        <w:rPr>
          <w:sz w:val="20"/>
        </w:rPr>
        <w:t>Engine</w:t>
      </w:r>
      <w:r>
        <w:rPr>
          <w:spacing w:val="-11"/>
          <w:sz w:val="20"/>
        </w:rPr>
        <w:t xml:space="preserve"> </w:t>
      </w:r>
      <w:r>
        <w:rPr>
          <w:sz w:val="20"/>
        </w:rPr>
        <w:t>Service</w:t>
      </w:r>
      <w:r>
        <w:rPr>
          <w:spacing w:val="-11"/>
          <w:sz w:val="20"/>
        </w:rPr>
        <w:t xml:space="preserve"> </w:t>
      </w:r>
      <w:r>
        <w:rPr>
          <w:sz w:val="20"/>
        </w:rPr>
        <w:t>Classification</w:t>
      </w:r>
      <w:r>
        <w:rPr>
          <w:spacing w:val="-11"/>
          <w:sz w:val="20"/>
        </w:rPr>
        <w:t xml:space="preserve"> </w:t>
      </w:r>
      <w:r>
        <w:rPr>
          <w:sz w:val="20"/>
        </w:rPr>
        <w:t>(Other</w:t>
      </w:r>
      <w:r>
        <w:rPr>
          <w:spacing w:val="-10"/>
          <w:sz w:val="20"/>
        </w:rPr>
        <w:t xml:space="preserve"> </w:t>
      </w:r>
      <w:r>
        <w:rPr>
          <w:sz w:val="20"/>
        </w:rPr>
        <w:t>than</w:t>
      </w:r>
      <w:r>
        <w:rPr>
          <w:spacing w:val="-10"/>
          <w:sz w:val="20"/>
        </w:rPr>
        <w:t xml:space="preserve"> </w:t>
      </w:r>
      <w:r>
        <w:rPr>
          <w:sz w:val="20"/>
        </w:rPr>
        <w:t>“Energy</w:t>
      </w:r>
      <w:r>
        <w:rPr>
          <w:spacing w:val="-11"/>
          <w:sz w:val="20"/>
        </w:rPr>
        <w:t xml:space="preserve"> </w:t>
      </w:r>
      <w:r>
        <w:rPr>
          <w:sz w:val="20"/>
        </w:rPr>
        <w:t>Conserving”)</w:t>
      </w:r>
      <w:r>
        <w:rPr>
          <w:b/>
          <w:strike/>
          <w:sz w:val="20"/>
        </w:rPr>
        <w:t>.</w:t>
      </w:r>
      <w:r>
        <w:rPr>
          <w:b/>
          <w:strike/>
          <w:sz w:val="20"/>
          <w:u w:val="single"/>
        </w:rPr>
        <w:t>.</w:t>
      </w:r>
      <w:r>
        <w:rPr>
          <w:b/>
          <w:sz w:val="20"/>
          <w:u w:val="single"/>
        </w:rPr>
        <w:t>,”</w:t>
      </w:r>
      <w:r>
        <w:rPr>
          <w:b/>
          <w:spacing w:val="-10"/>
          <w:sz w:val="20"/>
          <w:u w:val="single"/>
        </w:rPr>
        <w:t xml:space="preserve"> </w:t>
      </w:r>
      <w:r>
        <w:rPr>
          <w:b/>
          <w:sz w:val="20"/>
          <w:u w:val="single"/>
        </w:rPr>
        <w:t>the</w:t>
      </w:r>
      <w:r>
        <w:rPr>
          <w:b/>
          <w:spacing w:val="-12"/>
          <w:sz w:val="20"/>
          <w:u w:val="single"/>
        </w:rPr>
        <w:t xml:space="preserve"> </w:t>
      </w:r>
      <w:r>
        <w:rPr>
          <w:b/>
          <w:sz w:val="20"/>
          <w:u w:val="single"/>
        </w:rPr>
        <w:t>front</w:t>
      </w:r>
      <w:r>
        <w:rPr>
          <w:b/>
          <w:spacing w:val="-13"/>
          <w:sz w:val="20"/>
          <w:u w:val="single"/>
        </w:rPr>
        <w:t xml:space="preserve"> </w:t>
      </w:r>
      <w:r>
        <w:rPr>
          <w:b/>
          <w:sz w:val="20"/>
          <w:u w:val="single"/>
        </w:rPr>
        <w:t>or</w:t>
      </w:r>
      <w:r>
        <w:rPr>
          <w:b/>
          <w:spacing w:val="-11"/>
          <w:sz w:val="20"/>
          <w:u w:val="single"/>
        </w:rPr>
        <w:t xml:space="preserve"> </w:t>
      </w:r>
      <w:r>
        <w:rPr>
          <w:b/>
          <w:sz w:val="20"/>
          <w:u w:val="single"/>
        </w:rPr>
        <w:t>forward</w:t>
      </w:r>
      <w:r>
        <w:rPr>
          <w:b/>
          <w:spacing w:val="-12"/>
          <w:sz w:val="20"/>
          <w:u w:val="single"/>
        </w:rPr>
        <w:t xml:space="preserve"> </w:t>
      </w:r>
      <w:r>
        <w:rPr>
          <w:b/>
          <w:sz w:val="20"/>
          <w:u w:val="single"/>
        </w:rPr>
        <w:t>facing-label</w:t>
      </w:r>
      <w:r>
        <w:rPr>
          <w:b/>
          <w:spacing w:val="-11"/>
          <w:sz w:val="20"/>
          <w:u w:val="single"/>
        </w:rPr>
        <w:t xml:space="preserve"> </w:t>
      </w:r>
      <w:r>
        <w:rPr>
          <w:b/>
          <w:sz w:val="20"/>
          <w:u w:val="single"/>
        </w:rPr>
        <w:t>of</w:t>
      </w:r>
      <w:r>
        <w:rPr>
          <w:b/>
          <w:spacing w:val="-11"/>
          <w:sz w:val="20"/>
          <w:u w:val="single"/>
        </w:rPr>
        <w:t xml:space="preserve"> </w:t>
      </w:r>
      <w:r>
        <w:rPr>
          <w:b/>
          <w:sz w:val="20"/>
          <w:u w:val="single"/>
        </w:rPr>
        <w:t>such vehicle engine (motor) oil container, receptacle, dispenser, or storage tank and the invoice or receipt from service on an engine that includes the installation of bulk vehicle engine (motor) oil dispensed from a receptacle, dispenser, or storage tank shall bear the plainly-visible, cautionary statement set forth in the latest version of SAE J183, Appendix A. Whenever any vehicle engine (motor) oil is declared obsolete by a vehicle or engine manufacturer, the front or forward-facing label of such vehicle engine (motor) oil container, receptacle, dispenser, or storage tank and the invoice or receipt from service on an engine that includes</w:t>
      </w:r>
      <w:r>
        <w:rPr>
          <w:b/>
          <w:spacing w:val="-6"/>
          <w:sz w:val="20"/>
          <w:u w:val="single"/>
        </w:rPr>
        <w:t xml:space="preserve"> </w:t>
      </w:r>
      <w:r>
        <w:rPr>
          <w:b/>
          <w:sz w:val="20"/>
          <w:u w:val="single"/>
        </w:rPr>
        <w:t>the</w:t>
      </w:r>
      <w:r>
        <w:rPr>
          <w:b/>
          <w:spacing w:val="-4"/>
          <w:sz w:val="20"/>
          <w:u w:val="single"/>
        </w:rPr>
        <w:t xml:space="preserve"> </w:t>
      </w:r>
      <w:r>
        <w:rPr>
          <w:b/>
          <w:sz w:val="20"/>
          <w:u w:val="single"/>
        </w:rPr>
        <w:t>installation</w:t>
      </w:r>
      <w:r>
        <w:rPr>
          <w:b/>
          <w:spacing w:val="-6"/>
          <w:sz w:val="20"/>
          <w:u w:val="single"/>
        </w:rPr>
        <w:t xml:space="preserve"> </w:t>
      </w:r>
      <w:r>
        <w:rPr>
          <w:b/>
          <w:sz w:val="20"/>
          <w:u w:val="single"/>
        </w:rPr>
        <w:t>of</w:t>
      </w:r>
      <w:r>
        <w:rPr>
          <w:b/>
          <w:spacing w:val="-6"/>
          <w:sz w:val="20"/>
          <w:u w:val="single"/>
        </w:rPr>
        <w:t xml:space="preserve"> </w:t>
      </w:r>
      <w:r>
        <w:rPr>
          <w:b/>
          <w:sz w:val="20"/>
          <w:u w:val="single"/>
        </w:rPr>
        <w:t>bulk</w:t>
      </w:r>
      <w:r>
        <w:rPr>
          <w:b/>
          <w:spacing w:val="-4"/>
          <w:sz w:val="20"/>
          <w:u w:val="single"/>
        </w:rPr>
        <w:t xml:space="preserve"> </w:t>
      </w:r>
      <w:r>
        <w:rPr>
          <w:b/>
          <w:sz w:val="20"/>
          <w:u w:val="single"/>
        </w:rPr>
        <w:t>vehicle</w:t>
      </w:r>
      <w:r>
        <w:rPr>
          <w:b/>
          <w:spacing w:val="-4"/>
          <w:sz w:val="20"/>
          <w:u w:val="single"/>
        </w:rPr>
        <w:t xml:space="preserve"> </w:t>
      </w:r>
      <w:r>
        <w:rPr>
          <w:b/>
          <w:sz w:val="20"/>
          <w:u w:val="single"/>
        </w:rPr>
        <w:t>engine</w:t>
      </w:r>
      <w:r>
        <w:rPr>
          <w:b/>
          <w:spacing w:val="-6"/>
          <w:sz w:val="20"/>
          <w:u w:val="single"/>
        </w:rPr>
        <w:t xml:space="preserve"> </w:t>
      </w:r>
      <w:r>
        <w:rPr>
          <w:b/>
          <w:sz w:val="20"/>
          <w:u w:val="single"/>
        </w:rPr>
        <w:t>(motor)</w:t>
      </w:r>
      <w:r>
        <w:rPr>
          <w:b/>
          <w:spacing w:val="-6"/>
          <w:sz w:val="20"/>
          <w:u w:val="single"/>
        </w:rPr>
        <w:t xml:space="preserve"> </w:t>
      </w:r>
      <w:r>
        <w:rPr>
          <w:b/>
          <w:sz w:val="20"/>
          <w:u w:val="single"/>
        </w:rPr>
        <w:t>oil</w:t>
      </w:r>
      <w:r>
        <w:rPr>
          <w:b/>
          <w:spacing w:val="-5"/>
          <w:sz w:val="20"/>
          <w:u w:val="single"/>
        </w:rPr>
        <w:t xml:space="preserve"> </w:t>
      </w:r>
      <w:r>
        <w:rPr>
          <w:b/>
          <w:sz w:val="20"/>
          <w:u w:val="single"/>
        </w:rPr>
        <w:t>dispensed</w:t>
      </w:r>
      <w:r>
        <w:rPr>
          <w:b/>
          <w:spacing w:val="-5"/>
          <w:sz w:val="20"/>
          <w:u w:val="single"/>
        </w:rPr>
        <w:t xml:space="preserve"> </w:t>
      </w:r>
      <w:r>
        <w:rPr>
          <w:b/>
          <w:sz w:val="20"/>
          <w:u w:val="single"/>
        </w:rPr>
        <w:t>from</w:t>
      </w:r>
      <w:r>
        <w:rPr>
          <w:b/>
          <w:spacing w:val="-3"/>
          <w:sz w:val="20"/>
          <w:u w:val="single"/>
        </w:rPr>
        <w:t xml:space="preserve"> </w:t>
      </w:r>
      <w:r>
        <w:rPr>
          <w:b/>
          <w:sz w:val="20"/>
          <w:u w:val="single"/>
        </w:rPr>
        <w:t>a</w:t>
      </w:r>
      <w:r>
        <w:rPr>
          <w:b/>
          <w:spacing w:val="-7"/>
          <w:sz w:val="20"/>
          <w:u w:val="single"/>
        </w:rPr>
        <w:t xml:space="preserve"> </w:t>
      </w:r>
      <w:r>
        <w:rPr>
          <w:b/>
          <w:sz w:val="20"/>
          <w:u w:val="single"/>
        </w:rPr>
        <w:t>receptacle,</w:t>
      </w:r>
      <w:r>
        <w:rPr>
          <w:b/>
          <w:spacing w:val="-4"/>
          <w:sz w:val="20"/>
          <w:u w:val="single"/>
        </w:rPr>
        <w:t xml:space="preserve"> </w:t>
      </w:r>
      <w:r>
        <w:rPr>
          <w:b/>
          <w:sz w:val="20"/>
          <w:u w:val="single"/>
        </w:rPr>
        <w:t>dispenser,</w:t>
      </w:r>
      <w:r>
        <w:rPr>
          <w:b/>
          <w:spacing w:val="-5"/>
          <w:sz w:val="20"/>
          <w:u w:val="single"/>
        </w:rPr>
        <w:t xml:space="preserve"> </w:t>
      </w:r>
      <w:r>
        <w:rPr>
          <w:b/>
          <w:sz w:val="20"/>
          <w:u w:val="single"/>
        </w:rPr>
        <w:t>or</w:t>
      </w:r>
      <w:r>
        <w:rPr>
          <w:b/>
          <w:spacing w:val="-4"/>
          <w:sz w:val="20"/>
          <w:u w:val="single"/>
        </w:rPr>
        <w:t xml:space="preserve"> </w:t>
      </w:r>
      <w:r>
        <w:rPr>
          <w:b/>
          <w:sz w:val="20"/>
          <w:u w:val="single"/>
        </w:rPr>
        <w:t xml:space="preserve">storage tank shall bear the plainly-visible, cautionary statement required by the vehicle or engine manufacturer. </w:t>
      </w:r>
      <w:r>
        <w:rPr>
          <w:b/>
          <w:strike/>
          <w:sz w:val="20"/>
          <w:u w:val="single"/>
        </w:rPr>
        <w:t>If</w:t>
      </w:r>
      <w:r>
        <w:rPr>
          <w:b/>
          <w:strike/>
          <w:sz w:val="20"/>
          <w:u w:val="double"/>
        </w:rPr>
        <w:t xml:space="preserve"> a vehicle engine (motor) oil is identified as only meeting a vehicle or engine manufacturer standard, the labeling requirements in Section 2.33.1.3.1. Vehicle or Engine Manufacturer Standard applies.</w:t>
      </w:r>
      <w:r>
        <w:rPr>
          <w:b/>
          <w:sz w:val="20"/>
          <w:u w:val="double"/>
        </w:rPr>
        <w:t xml:space="preserve"> (</w:t>
      </w:r>
      <w:r>
        <w:rPr>
          <w:b/>
          <w:sz w:val="20"/>
        </w:rPr>
        <w:t>Reinstate the last</w:t>
      </w:r>
      <w:r>
        <w:rPr>
          <w:b/>
          <w:spacing w:val="-1"/>
          <w:sz w:val="20"/>
        </w:rPr>
        <w:t xml:space="preserve"> </w:t>
      </w:r>
      <w:r>
        <w:rPr>
          <w:b/>
          <w:sz w:val="20"/>
        </w:rPr>
        <w:t>sentence).</w:t>
      </w:r>
    </w:p>
    <w:p w14:paraId="59AA85E9" w14:textId="1C2244E2" w:rsidR="00ED0D76" w:rsidRPr="00ED0D76" w:rsidRDefault="00ED0D76" w:rsidP="00ED0D76">
      <w:pPr>
        <w:pStyle w:val="TableParagraph"/>
        <w:spacing w:after="240"/>
        <w:ind w:left="90" w:right="97"/>
        <w:jc w:val="both"/>
        <w:rPr>
          <w:sz w:val="20"/>
        </w:rPr>
      </w:pPr>
      <w:r>
        <w:rPr>
          <w:sz w:val="20"/>
        </w:rPr>
        <w:t xml:space="preserve">(Amended 2014 </w:t>
      </w:r>
      <w:r>
        <w:rPr>
          <w:b/>
          <w:sz w:val="20"/>
          <w:u w:val="single"/>
        </w:rPr>
        <w:t>and 20XX</w:t>
      </w:r>
      <w:r>
        <w:rPr>
          <w:sz w:val="20"/>
        </w:rPr>
        <w:t>)</w:t>
      </w:r>
    </w:p>
    <w:p w14:paraId="70F11EF2" w14:textId="7DECAEEC" w:rsidR="00FC537E" w:rsidRPr="00281428" w:rsidRDefault="00FC537E" w:rsidP="008F3950">
      <w:pPr>
        <w:rPr>
          <w:szCs w:val="20"/>
        </w:rPr>
      </w:pPr>
      <w:r w:rsidRPr="00281428">
        <w:rPr>
          <w:szCs w:val="20"/>
        </w:rPr>
        <w:t xml:space="preserve">Additional letters, presentation and data may have been submitted for consideration with this item.  Please refer to </w:t>
      </w:r>
      <w:hyperlink r:id="rId28" w:history="1">
        <w:r w:rsidR="00263955" w:rsidRPr="00A766AF">
          <w:rPr>
            <w:rStyle w:val="Hyperlink"/>
            <w:noProof w:val="0"/>
            <w:color w:val="0000FF"/>
          </w:rPr>
          <w:t>https://www.ncwm.com/publication-16</w:t>
        </w:r>
      </w:hyperlink>
      <w:r w:rsidRPr="00281428">
        <w:rPr>
          <w:szCs w:val="20"/>
        </w:rPr>
        <w:t xml:space="preserve"> to review these documents</w:t>
      </w:r>
      <w:bookmarkEnd w:id="136"/>
      <w:r w:rsidRPr="00281428">
        <w:rPr>
          <w:szCs w:val="20"/>
        </w:rPr>
        <w:t>.</w:t>
      </w:r>
    </w:p>
    <w:p w14:paraId="15D53F40" w14:textId="37181E77" w:rsidR="005D640A" w:rsidRPr="00281428" w:rsidRDefault="005D640A" w:rsidP="00375815">
      <w:pPr>
        <w:pStyle w:val="Heading1"/>
        <w:keepNext w:val="0"/>
        <w:keepLines w:val="0"/>
        <w:ind w:left="2880" w:hanging="2880"/>
      </w:pPr>
      <w:bookmarkStart w:id="140" w:name="_Toc65741446"/>
      <w:r w:rsidRPr="00281428">
        <w:t>ITEM Block 4 (B4)</w:t>
      </w:r>
      <w:r w:rsidRPr="00281428">
        <w:tab/>
        <w:t>Method of Sale Reg</w:t>
      </w:r>
      <w:r w:rsidR="00375815" w:rsidRPr="00281428">
        <w:t>ulation</w:t>
      </w:r>
      <w:r w:rsidRPr="00281428">
        <w:t>, Section 2.20.2. Documentation for dispenser Labeling purposes</w:t>
      </w:r>
      <w:r w:rsidR="00375815" w:rsidRPr="00281428">
        <w:t xml:space="preserve">.  </w:t>
      </w:r>
      <w:r w:rsidRPr="00281428">
        <w:t>Fuels and Automotive Lubricants REg</w:t>
      </w:r>
      <w:r w:rsidR="00375815" w:rsidRPr="00281428">
        <w:t>ulation,</w:t>
      </w:r>
      <w:r w:rsidRPr="00281428">
        <w:t xml:space="preserve"> Section 1.23. Ethanol Flex Fuel, 2.1.2.(B) Gasoline-Ethanol Blends, and Section 3.2.5. Documentation for dispenser Labeling purposes</w:t>
      </w:r>
      <w:bookmarkEnd w:id="140"/>
    </w:p>
    <w:p w14:paraId="30E8349F" w14:textId="77777777" w:rsidR="005D640A" w:rsidRPr="00281428" w:rsidRDefault="005D640A" w:rsidP="008F3950">
      <w:pPr>
        <w:tabs>
          <w:tab w:val="left" w:pos="1440"/>
        </w:tabs>
        <w:spacing w:after="0"/>
        <w:ind w:left="1800" w:hanging="1800"/>
        <w:outlineLvl w:val="3"/>
        <w:rPr>
          <w:rFonts w:eastAsia="Times New Roman"/>
          <w:iCs/>
          <w:szCs w:val="20"/>
        </w:rPr>
      </w:pPr>
      <w:r w:rsidRPr="00281428">
        <w:rPr>
          <w:rFonts w:eastAsia="Times New Roman"/>
          <w:iCs/>
          <w:szCs w:val="20"/>
        </w:rPr>
        <w:t>B4: MOS-20.2</w:t>
      </w:r>
      <w:r w:rsidRPr="00281428">
        <w:rPr>
          <w:rFonts w:eastAsia="Times New Roman"/>
          <w:iCs/>
          <w:szCs w:val="20"/>
        </w:rPr>
        <w:tab/>
        <w:t>W</w:t>
      </w:r>
      <w:r w:rsidRPr="00281428">
        <w:rPr>
          <w:rFonts w:eastAsia="Times New Roman"/>
          <w:iCs/>
          <w:szCs w:val="20"/>
        </w:rPr>
        <w:tab/>
        <w:t xml:space="preserve">Section 2.20.2. Documentation for Dispenser Labeling Purposes </w:t>
      </w:r>
    </w:p>
    <w:p w14:paraId="57377E58" w14:textId="77777777" w:rsidR="005D640A" w:rsidRPr="00281428" w:rsidRDefault="005D640A" w:rsidP="008F3950">
      <w:pPr>
        <w:tabs>
          <w:tab w:val="left" w:pos="1440"/>
        </w:tabs>
        <w:spacing w:after="0"/>
        <w:ind w:left="1800" w:hanging="1800"/>
        <w:outlineLvl w:val="3"/>
        <w:rPr>
          <w:rFonts w:eastAsia="Times New Roman"/>
          <w:iCs/>
          <w:szCs w:val="20"/>
        </w:rPr>
      </w:pPr>
      <w:r w:rsidRPr="00281428">
        <w:rPr>
          <w:rFonts w:eastAsia="Times New Roman"/>
          <w:iCs/>
          <w:szCs w:val="20"/>
        </w:rPr>
        <w:t>B4: FLR-20.3</w:t>
      </w:r>
      <w:r w:rsidRPr="00281428">
        <w:rPr>
          <w:rFonts w:eastAsia="Times New Roman"/>
          <w:iCs/>
          <w:szCs w:val="20"/>
        </w:rPr>
        <w:tab/>
        <w:t>W</w:t>
      </w:r>
      <w:r w:rsidRPr="00281428">
        <w:rPr>
          <w:rFonts w:eastAsia="Times New Roman"/>
          <w:iCs/>
          <w:szCs w:val="20"/>
        </w:rPr>
        <w:tab/>
        <w:t xml:space="preserve">Section 1.23. Ethanol Flex Fuel </w:t>
      </w:r>
    </w:p>
    <w:p w14:paraId="06F6D3DC" w14:textId="77777777" w:rsidR="005D640A" w:rsidRPr="00281428" w:rsidRDefault="005D640A" w:rsidP="008F3950">
      <w:pPr>
        <w:tabs>
          <w:tab w:val="left" w:pos="1440"/>
        </w:tabs>
        <w:spacing w:after="0"/>
        <w:ind w:left="1800" w:hanging="1800"/>
        <w:outlineLvl w:val="3"/>
        <w:rPr>
          <w:rFonts w:eastAsia="Times New Roman"/>
          <w:iCs/>
          <w:szCs w:val="20"/>
        </w:rPr>
      </w:pPr>
      <w:r w:rsidRPr="00281428">
        <w:rPr>
          <w:rFonts w:eastAsia="Times New Roman"/>
          <w:iCs/>
          <w:szCs w:val="20"/>
        </w:rPr>
        <w:t>B4: FLR-20.6</w:t>
      </w:r>
      <w:r w:rsidRPr="00281428">
        <w:rPr>
          <w:rFonts w:eastAsia="Times New Roman"/>
          <w:iCs/>
          <w:szCs w:val="20"/>
        </w:rPr>
        <w:tab/>
        <w:t>W</w:t>
      </w:r>
      <w:r w:rsidRPr="00281428">
        <w:rPr>
          <w:rFonts w:eastAsia="Times New Roman"/>
          <w:iCs/>
          <w:szCs w:val="20"/>
        </w:rPr>
        <w:tab/>
        <w:t>Section 2.1.2.(b) Gasoline-Ethanol Blends</w:t>
      </w:r>
    </w:p>
    <w:p w14:paraId="462A42E3" w14:textId="77777777" w:rsidR="005D640A" w:rsidRPr="00281428" w:rsidRDefault="005D640A" w:rsidP="008F3950">
      <w:pPr>
        <w:tabs>
          <w:tab w:val="left" w:pos="1440"/>
        </w:tabs>
        <w:ind w:left="1800" w:hanging="1800"/>
        <w:outlineLvl w:val="3"/>
        <w:rPr>
          <w:rFonts w:eastAsia="Times New Roman"/>
          <w:iCs/>
          <w:szCs w:val="20"/>
        </w:rPr>
      </w:pPr>
      <w:r w:rsidRPr="00281428">
        <w:rPr>
          <w:rFonts w:eastAsia="Times New Roman"/>
          <w:iCs/>
          <w:szCs w:val="20"/>
        </w:rPr>
        <w:t>B4: FLR-20.7</w:t>
      </w:r>
      <w:r w:rsidRPr="00281428">
        <w:rPr>
          <w:rFonts w:eastAsia="Times New Roman"/>
          <w:iCs/>
          <w:szCs w:val="20"/>
        </w:rPr>
        <w:tab/>
        <w:t>W</w:t>
      </w:r>
      <w:r w:rsidRPr="00281428">
        <w:rPr>
          <w:rFonts w:eastAsia="Times New Roman"/>
          <w:iCs/>
          <w:szCs w:val="20"/>
        </w:rPr>
        <w:tab/>
        <w:t>Section 3.2.5. Documentation for Dispenser Labeling Purposes</w:t>
      </w:r>
    </w:p>
    <w:p w14:paraId="5E54DF7F" w14:textId="77777777" w:rsidR="005D640A" w:rsidRPr="00281428" w:rsidRDefault="005D640A" w:rsidP="008F3950">
      <w:pPr>
        <w:rPr>
          <w:b/>
        </w:rPr>
      </w:pPr>
      <w:r w:rsidRPr="00281428">
        <w:rPr>
          <w:b/>
        </w:rPr>
        <w:t>(B4: FLR-20.6, Section 2.1.2.(b) Gasoline-Ethanol Blends and B4: FLR-20.7, Section 3.2.5. Documentation for Dispenser Labeling Purposes appeared in the 2020 NCWM Publication 15 under FLR-20.2.   These two sections were removed from that “item under consideration” and merged into this block as it proceeds through the conference.)</w:t>
      </w:r>
    </w:p>
    <w:p w14:paraId="790EED97" w14:textId="77777777" w:rsidR="005D640A" w:rsidRPr="00281428" w:rsidRDefault="005D640A" w:rsidP="008F3950">
      <w:pPr>
        <w:spacing w:after="0"/>
        <w:rPr>
          <w:b/>
        </w:rPr>
      </w:pPr>
      <w:r w:rsidRPr="00281428">
        <w:rPr>
          <w:b/>
        </w:rPr>
        <w:t>Source:</w:t>
      </w:r>
    </w:p>
    <w:p w14:paraId="4CBDAD9F" w14:textId="77777777" w:rsidR="005D640A" w:rsidRPr="00281428" w:rsidRDefault="005D640A" w:rsidP="008F3950">
      <w:pPr>
        <w:rPr>
          <w:szCs w:val="20"/>
        </w:rPr>
      </w:pPr>
      <w:r w:rsidRPr="00281428">
        <w:rPr>
          <w:szCs w:val="20"/>
        </w:rPr>
        <w:t>Fuels and Lubricants Subcommittee (original submitter API)</w:t>
      </w:r>
    </w:p>
    <w:p w14:paraId="23BA78AB" w14:textId="77777777" w:rsidR="005D640A" w:rsidRPr="00281428" w:rsidRDefault="005D640A" w:rsidP="008F3950">
      <w:pPr>
        <w:spacing w:after="0"/>
        <w:rPr>
          <w:b/>
        </w:rPr>
      </w:pPr>
      <w:r w:rsidRPr="00281428">
        <w:rPr>
          <w:b/>
        </w:rPr>
        <w:t>Purpose:</w:t>
      </w:r>
    </w:p>
    <w:p w14:paraId="43B3EBAC" w14:textId="7E7B33A2" w:rsidR="005D640A" w:rsidRPr="00281428" w:rsidRDefault="005D640A" w:rsidP="008F3950">
      <w:pPr>
        <w:rPr>
          <w:szCs w:val="20"/>
        </w:rPr>
      </w:pPr>
      <w:r w:rsidRPr="00281428">
        <w:rPr>
          <w:szCs w:val="20"/>
        </w:rPr>
        <w:t>More comprehensively align Handbook 130</w:t>
      </w:r>
      <w:r w:rsidR="003B69D8">
        <w:rPr>
          <w:szCs w:val="20"/>
        </w:rPr>
        <w:t>,</w:t>
      </w:r>
      <w:r w:rsidRPr="00281428">
        <w:rPr>
          <w:szCs w:val="20"/>
        </w:rPr>
        <w:t xml:space="preserve"> Uniform Fuels and Automotive Lubricants Regulations</w:t>
      </w:r>
      <w:r w:rsidR="003B69D8">
        <w:rPr>
          <w:szCs w:val="20"/>
        </w:rPr>
        <w:t>,</w:t>
      </w:r>
      <w:r w:rsidRPr="00281428">
        <w:rPr>
          <w:szCs w:val="20"/>
        </w:rPr>
        <w:t xml:space="preserve"> with the U.S. EPA’s rule that grants a 1-psi vapor pressure waiver to E15 for summertime (June 1 to September 15) and to help ensure consumers receive a consistent E15 blend. </w:t>
      </w:r>
      <w:r w:rsidR="00126617">
        <w:rPr>
          <w:szCs w:val="20"/>
        </w:rPr>
        <w:t xml:space="preserve"> </w:t>
      </w:r>
      <w:r w:rsidRPr="00281428">
        <w:rPr>
          <w:szCs w:val="20"/>
        </w:rPr>
        <w:t>The proposed changes reflect the regulatory changes finalized by the EPA that revise product transfer document (PTD) requirement for disclosure of the percentage concentration of ethanol in gasoline-ethanol blends, as revised in 40 CFR 80.</w:t>
      </w:r>
    </w:p>
    <w:p w14:paraId="6864FE1F" w14:textId="77777777" w:rsidR="005D640A" w:rsidRPr="00281428" w:rsidRDefault="005D640A" w:rsidP="00022064">
      <w:pPr>
        <w:pStyle w:val="ItemHeading"/>
        <w:tabs>
          <w:tab w:val="clear" w:pos="900"/>
          <w:tab w:val="left" w:pos="1620"/>
        </w:tabs>
      </w:pPr>
      <w:bookmarkStart w:id="141" w:name="_Toc65741447"/>
      <w:r w:rsidRPr="00281428">
        <w:lastRenderedPageBreak/>
        <w:t>B4: MOS-20.2</w:t>
      </w:r>
      <w:r w:rsidRPr="00281428">
        <w:tab/>
        <w:t>W</w:t>
      </w:r>
      <w:r w:rsidRPr="00281428">
        <w:tab/>
        <w:t>Section 2.20.2. Documentation for Dispenser Labeling Purposes.</w:t>
      </w:r>
      <w:bookmarkEnd w:id="141"/>
    </w:p>
    <w:p w14:paraId="0575E6E6" w14:textId="77777777" w:rsidR="005D640A" w:rsidRPr="00281428" w:rsidRDefault="005D640A" w:rsidP="00022064">
      <w:pPr>
        <w:pStyle w:val="I-Normal1indent"/>
        <w:keepNext/>
        <w:keepLines/>
        <w:spacing w:after="0"/>
        <w:ind w:left="0"/>
        <w:rPr>
          <w:b/>
          <w:szCs w:val="20"/>
        </w:rPr>
      </w:pPr>
      <w:r w:rsidRPr="00281428">
        <w:rPr>
          <w:b/>
          <w:szCs w:val="20"/>
        </w:rPr>
        <w:t>Item Under Consideration:</w:t>
      </w:r>
    </w:p>
    <w:p w14:paraId="1727ADCB" w14:textId="0C3D360F" w:rsidR="005D640A" w:rsidRPr="00281428" w:rsidRDefault="005D640A" w:rsidP="00022064">
      <w:pPr>
        <w:keepNext/>
        <w:keepLines/>
      </w:pPr>
      <w:r w:rsidRPr="00281428">
        <w:t>Amend Handbook 130, Uniform Regulation for the Method of Sale of Commodities as follows:</w:t>
      </w:r>
    </w:p>
    <w:p w14:paraId="68430CFA" w14:textId="77777777" w:rsidR="005D640A" w:rsidRPr="00281428" w:rsidRDefault="005D640A" w:rsidP="00022064">
      <w:pPr>
        <w:keepNext/>
        <w:keepLines/>
        <w:autoSpaceDE w:val="0"/>
        <w:autoSpaceDN w:val="0"/>
        <w:adjustRightInd w:val="0"/>
        <w:spacing w:after="12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2.20.2. Documentation for Dispenser Labeling Purposes. </w:t>
      </w:r>
      <w:r w:rsidRPr="00281428">
        <w:rPr>
          <w:rFonts w:ascii="TimesNewRomanPSMT" w:hAnsi="TimesNewRomanPSMT" w:cs="TimesNewRomanPSMT"/>
          <w:szCs w:val="20"/>
        </w:rPr>
        <w:t>– The retailer shall be provided, at the time of delivery of the fuel, on product transfer documents such as an invoice, bill of lading, shipping paper, or other documentation:</w:t>
      </w:r>
    </w:p>
    <w:p w14:paraId="6F55B08E" w14:textId="77777777" w:rsidR="005D640A" w:rsidRPr="00281428" w:rsidRDefault="005D640A" w:rsidP="008F3950">
      <w:pPr>
        <w:pStyle w:val="ListParagraph"/>
        <w:numPr>
          <w:ilvl w:val="0"/>
          <w:numId w:val="27"/>
        </w:numPr>
        <w:autoSpaceDE w:val="0"/>
        <w:autoSpaceDN w:val="0"/>
        <w:adjustRightInd w:val="0"/>
        <w:spacing w:after="60"/>
        <w:ind w:left="1080"/>
        <w:jc w:val="left"/>
        <w:rPr>
          <w:rFonts w:ascii="TimesNewRomanPSMT" w:hAnsi="TimesNewRomanPSMT" w:cs="TimesNewRomanPSMT"/>
          <w:szCs w:val="20"/>
        </w:rPr>
      </w:pPr>
      <w:r w:rsidRPr="00281428">
        <w:rPr>
          <w:rFonts w:ascii="TimesNewRomanPSMT" w:hAnsi="TimesNewRomanPSMT" w:cs="TimesNewRomanPSMT"/>
          <w:szCs w:val="20"/>
        </w:rPr>
        <w:t xml:space="preserve">Information </w:t>
      </w:r>
      <w:r w:rsidRPr="00281428">
        <w:rPr>
          <w:rFonts w:ascii="TimesNewRomanPSMT" w:hAnsi="TimesNewRomanPSMT" w:cs="TimesNewRomanPSMT"/>
          <w:b/>
          <w:bCs/>
          <w:strike/>
          <w:szCs w:val="20"/>
        </w:rPr>
        <w:t>that complies with 40 CFR 80.1503</w:t>
      </w:r>
      <w:r w:rsidRPr="00281428">
        <w:rPr>
          <w:rFonts w:ascii="TimesNewRomanPSMT" w:hAnsi="TimesNewRomanPSMT" w:cs="TimesNewRomanPSMT"/>
          <w:szCs w:val="20"/>
        </w:rPr>
        <w:t xml:space="preserve"> when the fuel contains ethanol </w:t>
      </w:r>
      <w:r w:rsidRPr="00281428">
        <w:rPr>
          <w:rFonts w:ascii="TimesNewRomanPSMT" w:hAnsi="TimesNewRomanPSMT" w:cs="TimesNewRomanPSMT"/>
          <w:b/>
          <w:szCs w:val="20"/>
          <w:u w:val="single"/>
        </w:rPr>
        <w:t>as described below</w:t>
      </w:r>
      <w:r w:rsidRPr="00281428">
        <w:rPr>
          <w:rFonts w:ascii="TimesNewRomanPSMT" w:hAnsi="TimesNewRomanPSMT" w:cs="TimesNewRomanPSMT"/>
          <w:szCs w:val="20"/>
        </w:rPr>
        <w:t xml:space="preserve">. </w:t>
      </w:r>
    </w:p>
    <w:p w14:paraId="45631A57" w14:textId="77777777" w:rsidR="005D640A" w:rsidRPr="00281428" w:rsidRDefault="005D640A" w:rsidP="008F3950">
      <w:pPr>
        <w:autoSpaceDE w:val="0"/>
        <w:autoSpaceDN w:val="0"/>
        <w:adjustRightInd w:val="0"/>
        <w:ind w:left="1080"/>
        <w:rPr>
          <w:rFonts w:ascii="TimesNewRomanPSMT" w:hAnsi="TimesNewRomanPSMT" w:cs="TimesNewRomanPSMT"/>
          <w:szCs w:val="20"/>
        </w:rPr>
      </w:pPr>
      <w:r w:rsidRPr="00281428">
        <w:rPr>
          <w:rFonts w:ascii="TimesNewRomanPSMT" w:hAnsi="TimesNewRomanPSMT" w:cs="TimesNewRomanPSMT"/>
          <w:szCs w:val="20"/>
        </w:rPr>
        <w:t xml:space="preserve">(Added 2014, </w:t>
      </w:r>
      <w:r w:rsidRPr="00281428">
        <w:rPr>
          <w:rFonts w:ascii="TimesNewRomanPSMT" w:hAnsi="TimesNewRomanPSMT" w:cs="TimesNewRomanPSMT"/>
          <w:b/>
          <w:bCs/>
          <w:szCs w:val="20"/>
          <w:u w:val="single"/>
        </w:rPr>
        <w:t>Amended 20XX</w:t>
      </w:r>
      <w:r w:rsidRPr="00281428">
        <w:rPr>
          <w:rFonts w:ascii="TimesNewRomanPSMT" w:hAnsi="TimesNewRomanPSMT" w:cs="TimesNewRomanPSMT"/>
          <w:szCs w:val="20"/>
        </w:rPr>
        <w:t xml:space="preserve">) </w:t>
      </w:r>
    </w:p>
    <w:p w14:paraId="05F66509" w14:textId="77777777" w:rsidR="005D640A" w:rsidRPr="00281428" w:rsidRDefault="005D640A" w:rsidP="005D640A">
      <w:pPr>
        <w:autoSpaceDE w:val="0"/>
        <w:autoSpaceDN w:val="0"/>
        <w:adjustRightInd w:val="0"/>
        <w:ind w:left="1440" w:hanging="360"/>
        <w:rPr>
          <w:rFonts w:ascii="TimesNewRomanPSMT" w:hAnsi="TimesNewRomanPSMT" w:cs="TimesNewRomanPSMT"/>
          <w:b/>
          <w:szCs w:val="20"/>
          <w:u w:val="single"/>
        </w:rPr>
      </w:pPr>
      <w:r w:rsidRPr="00281428">
        <w:rPr>
          <w:rFonts w:ascii="TimesNewRomanPSMT" w:hAnsi="TimesNewRomanPSMT" w:cs="TimesNewRomanPSMT"/>
          <w:b/>
          <w:szCs w:val="20"/>
          <w:u w:val="single"/>
        </w:rPr>
        <w:t>(1)</w:t>
      </w:r>
      <w:r w:rsidRPr="00281428">
        <w:rPr>
          <w:rFonts w:ascii="TimesNewRomanPSMT" w:hAnsi="TimesNewRomanPSMT" w:cs="TimesNewRomanPSMT"/>
          <w:b/>
          <w:szCs w:val="20"/>
        </w:rPr>
        <w:tab/>
      </w:r>
      <w:r w:rsidRPr="00281428">
        <w:rPr>
          <w:rFonts w:ascii="TimesNewRomanPSMT" w:hAnsi="TimesNewRomanPSMT" w:cs="TimesNewRomanPSMT"/>
          <w:b/>
          <w:szCs w:val="20"/>
          <w:u w:val="single"/>
        </w:rPr>
        <w:t xml:space="preserve">Per 40 CFR 80.1503, For gasoline containing less than 9 volume percent ethanol, the following statement: “EX - Contains up to X% ethanol.  The RVP does not exceed [fill in appropriate value] psi.”  The term X refers to the maximum volume percent ethanol present in the gasoline. </w:t>
      </w:r>
    </w:p>
    <w:p w14:paraId="588EAD2F" w14:textId="77777777" w:rsidR="005D640A" w:rsidRPr="00281428" w:rsidRDefault="005D640A" w:rsidP="005D640A">
      <w:pPr>
        <w:autoSpaceDE w:val="0"/>
        <w:autoSpaceDN w:val="0"/>
        <w:adjustRightInd w:val="0"/>
        <w:ind w:left="1440" w:hanging="360"/>
        <w:rPr>
          <w:rFonts w:ascii="TimesNewRomanPSMT" w:hAnsi="TimesNewRomanPSMT" w:cs="TimesNewRomanPSMT"/>
          <w:b/>
          <w:szCs w:val="20"/>
          <w:u w:val="single"/>
        </w:rPr>
      </w:pPr>
      <w:r w:rsidRPr="00281428">
        <w:rPr>
          <w:rFonts w:ascii="TimesNewRomanPSMT" w:hAnsi="TimesNewRomanPSMT" w:cs="TimesNewRomanPSMT"/>
          <w:b/>
          <w:szCs w:val="20"/>
          <w:u w:val="single"/>
        </w:rPr>
        <w:t>(2)</w:t>
      </w:r>
      <w:r w:rsidRPr="00281428">
        <w:rPr>
          <w:rFonts w:ascii="TimesNewRomanPSMT" w:hAnsi="TimesNewRomanPSMT" w:cs="TimesNewRomanPSMT"/>
          <w:b/>
          <w:szCs w:val="20"/>
        </w:rPr>
        <w:tab/>
      </w:r>
      <w:r w:rsidRPr="00281428">
        <w:rPr>
          <w:rFonts w:ascii="TimesNewRomanPSMT" w:hAnsi="TimesNewRomanPSMT" w:cs="TimesNewRomanPSMT"/>
          <w:b/>
          <w:szCs w:val="20"/>
          <w:u w:val="single"/>
        </w:rPr>
        <w:t>Per 40 CFR 80.1503, For gasoline containing 9 or more volume percent ethanol, a conspicuous statement that the gasoline being shipped contains ethanol and the percentage concentration of ethanol as described in 40 CFR 80.27(d)(3).</w:t>
      </w:r>
    </w:p>
    <w:p w14:paraId="7496D6A3" w14:textId="77777777" w:rsidR="005D640A" w:rsidRPr="00281428" w:rsidRDefault="005D640A" w:rsidP="00D9564F">
      <w:pPr>
        <w:autoSpaceDE w:val="0"/>
        <w:autoSpaceDN w:val="0"/>
        <w:adjustRightInd w:val="0"/>
        <w:spacing w:after="60"/>
        <w:ind w:left="1440" w:hanging="360"/>
        <w:rPr>
          <w:rFonts w:ascii="TimesNewRomanPSMT" w:hAnsi="TimesNewRomanPSMT" w:cs="TimesNewRomanPSMT"/>
          <w:b/>
          <w:szCs w:val="20"/>
          <w:u w:val="single"/>
        </w:rPr>
      </w:pPr>
      <w:r w:rsidRPr="00281428">
        <w:rPr>
          <w:rFonts w:ascii="TimesNewRomanPSMT" w:hAnsi="TimesNewRomanPSMT" w:cs="TimesNewRomanPSMT"/>
          <w:b/>
          <w:szCs w:val="20"/>
          <w:u w:val="single"/>
        </w:rPr>
        <w:t>(3)</w:t>
      </w:r>
      <w:r w:rsidRPr="00281428">
        <w:rPr>
          <w:rFonts w:ascii="TimesNewRomanPSMT" w:hAnsi="TimesNewRomanPSMT" w:cs="TimesNewRomanPSMT"/>
          <w:b/>
          <w:szCs w:val="20"/>
        </w:rPr>
        <w:tab/>
      </w:r>
      <w:r w:rsidRPr="00281428">
        <w:rPr>
          <w:rFonts w:ascii="TimesNewRomanPSMT" w:hAnsi="TimesNewRomanPSMT" w:cs="TimesNewRomanPSMT"/>
          <w:b/>
          <w:szCs w:val="20"/>
          <w:u w:val="single"/>
        </w:rPr>
        <w:t>To meet the requirements of 40 CFR 80.28(g)(8), for ethanol flex fuel intended for blending with gasoline or gasoline-ethanol blends, to make gasoline containing not more than 15 volume percent ethanol, the following statement: “EXX contains XX% ethanol.”  The term XX refers to the volume percent ethanol present.</w:t>
      </w:r>
    </w:p>
    <w:p w14:paraId="59B52100" w14:textId="77777777" w:rsidR="005D640A" w:rsidRPr="00281428" w:rsidRDefault="005D640A" w:rsidP="00D9564F">
      <w:pPr>
        <w:autoSpaceDE w:val="0"/>
        <w:autoSpaceDN w:val="0"/>
        <w:adjustRightInd w:val="0"/>
        <w:ind w:left="1440" w:hanging="360"/>
        <w:rPr>
          <w:rFonts w:ascii="TimesNewRomanPSMT" w:hAnsi="TimesNewRomanPSMT" w:cs="TimesNewRomanPSMT"/>
          <w:szCs w:val="20"/>
        </w:rPr>
      </w:pPr>
      <w:r w:rsidRPr="00281428">
        <w:rPr>
          <w:rFonts w:ascii="TimesNewRomanPSMT" w:hAnsi="TimesNewRomanPSMT" w:cs="TimesNewRomanPSMT"/>
          <w:b/>
          <w:szCs w:val="20"/>
          <w:u w:val="single"/>
        </w:rPr>
        <w:t>(Added 20XX)</w:t>
      </w:r>
    </w:p>
    <w:p w14:paraId="14BFEB86" w14:textId="77777777" w:rsidR="005D640A" w:rsidRPr="00281428" w:rsidRDefault="005D640A" w:rsidP="00D9564F">
      <w:pPr>
        <w:autoSpaceDE w:val="0"/>
        <w:autoSpaceDN w:val="0"/>
        <w:adjustRightInd w:val="0"/>
        <w:ind w:left="1080" w:hanging="360"/>
        <w:rPr>
          <w:rFonts w:ascii="TimesNewRomanPSMT" w:hAnsi="TimesNewRomanPSMT" w:cs="TimesNewRomanPSMT"/>
          <w:szCs w:val="20"/>
        </w:rPr>
      </w:pPr>
      <w:r w:rsidRPr="00281428">
        <w:rPr>
          <w:rFonts w:ascii="TimesNewRomanPSMT" w:hAnsi="TimesNewRomanPSMT" w:cs="TimesNewRomanPSMT"/>
          <w:szCs w:val="20"/>
        </w:rPr>
        <w:t>(b)</w:t>
      </w:r>
      <w:r w:rsidRPr="00281428">
        <w:rPr>
          <w:rFonts w:ascii="TimesNewRomanPSMT" w:hAnsi="TimesNewRomanPSMT" w:cs="TimesNewRomanPSMT"/>
          <w:szCs w:val="20"/>
        </w:rPr>
        <w:tab/>
        <w:t>For fuels that do not contain ethanol, information that complies with 40 CFR 80.1503 and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w:t>
      </w:r>
    </w:p>
    <w:p w14:paraId="21BB2416" w14:textId="77777777" w:rsidR="005D640A" w:rsidRPr="00281428" w:rsidRDefault="005D640A" w:rsidP="00D9564F">
      <w:pPr>
        <w:autoSpaceDE w:val="0"/>
        <w:autoSpaceDN w:val="0"/>
        <w:adjustRightInd w:val="0"/>
        <w:spacing w:after="0"/>
        <w:ind w:left="1080" w:hanging="360"/>
        <w:rPr>
          <w:rFonts w:ascii="TimesNewRomanPSMT" w:hAnsi="TimesNewRomanPSMT" w:cs="TimesNewRomanPSMT"/>
          <w:szCs w:val="20"/>
        </w:rPr>
      </w:pPr>
      <w:r w:rsidRPr="00281428">
        <w:rPr>
          <w:rFonts w:ascii="TimesNewRomanPSMT" w:hAnsi="TimesNewRomanPSMT" w:cs="TimesNewRomanPSMT"/>
          <w:szCs w:val="20"/>
        </w:rPr>
        <w:t>(c)</w:t>
      </w:r>
      <w:r w:rsidRPr="00281428">
        <w:rPr>
          <w:rFonts w:ascii="TimesNewRomanPSMT" w:hAnsi="TimesNewRomanPSMT" w:cs="TimesNewRomanPSMT"/>
          <w:szCs w:val="20"/>
        </w:rPr>
        <w:tab/>
        <w:t>Gasoline containing more than 0.15 mass percent oxygen from methanol shall be identified as “with” or “containing” methanol.</w:t>
      </w:r>
    </w:p>
    <w:p w14:paraId="23642082" w14:textId="77777777" w:rsidR="005D640A" w:rsidRPr="00281428" w:rsidRDefault="005D640A" w:rsidP="00D9564F">
      <w:pPr>
        <w:spacing w:before="60"/>
        <w:rPr>
          <w:rFonts w:ascii="TimesNewRomanPSMT" w:hAnsi="TimesNewRomanPSMT" w:cs="TimesNewRomanPSMT"/>
          <w:szCs w:val="20"/>
        </w:rPr>
      </w:pPr>
      <w:r w:rsidRPr="00281428">
        <w:rPr>
          <w:rFonts w:ascii="TimesNewRomanPSMT" w:hAnsi="TimesNewRomanPSMT" w:cs="TimesNewRomanPSMT"/>
          <w:szCs w:val="20"/>
        </w:rPr>
        <w:t xml:space="preserve">(Added 1984) (Amended 1985, 1986, 1991, 1996, </w:t>
      </w:r>
      <w:r w:rsidRPr="00281428">
        <w:rPr>
          <w:rFonts w:ascii="TimesNewRomanPSMT" w:hAnsi="TimesNewRomanPSMT" w:cs="TimesNewRomanPSMT"/>
          <w:b/>
          <w:strike/>
          <w:szCs w:val="20"/>
        </w:rPr>
        <w:t>and</w:t>
      </w:r>
      <w:r w:rsidRPr="00281428">
        <w:rPr>
          <w:rFonts w:ascii="TimesNewRomanPSMT" w:hAnsi="TimesNewRomanPSMT" w:cs="TimesNewRomanPSMT"/>
          <w:szCs w:val="20"/>
        </w:rPr>
        <w:t xml:space="preserve"> 2014</w:t>
      </w:r>
      <w:r w:rsidRPr="00281428">
        <w:rPr>
          <w:rFonts w:ascii="TimesNewRomanPSMT" w:hAnsi="TimesNewRomanPSMT" w:cs="TimesNewRomanPSMT"/>
          <w:b/>
          <w:szCs w:val="20"/>
          <w:u w:val="single"/>
        </w:rPr>
        <w:t>, and 20XX</w:t>
      </w:r>
      <w:r w:rsidRPr="00281428">
        <w:rPr>
          <w:rFonts w:ascii="TimesNewRomanPSMT" w:hAnsi="TimesNewRomanPSMT" w:cs="TimesNewRomanPSMT"/>
          <w:szCs w:val="20"/>
        </w:rPr>
        <w:t>)</w:t>
      </w:r>
    </w:p>
    <w:p w14:paraId="533FDDC3" w14:textId="77777777" w:rsidR="005D640A" w:rsidRPr="00281428" w:rsidRDefault="005D640A" w:rsidP="00D9564F">
      <w:pPr>
        <w:pStyle w:val="ItemHeading"/>
        <w:keepNext w:val="0"/>
        <w:keepLines w:val="0"/>
        <w:tabs>
          <w:tab w:val="clear" w:pos="900"/>
          <w:tab w:val="left" w:pos="1620"/>
        </w:tabs>
      </w:pPr>
      <w:bookmarkStart w:id="142" w:name="_Toc65741448"/>
      <w:r w:rsidRPr="00281428">
        <w:t>B4: FLR-20.3</w:t>
      </w:r>
      <w:r w:rsidRPr="00281428">
        <w:tab/>
        <w:t>W</w:t>
      </w:r>
      <w:r w:rsidRPr="00281428">
        <w:tab/>
        <w:t>Section 1.23.  Ethanol Flex Fuel</w:t>
      </w:r>
      <w:bookmarkEnd w:id="142"/>
      <w:r w:rsidRPr="00281428">
        <w:t xml:space="preserve"> </w:t>
      </w:r>
    </w:p>
    <w:p w14:paraId="542B6711" w14:textId="77777777" w:rsidR="005D640A" w:rsidRPr="00281428" w:rsidRDefault="005D640A" w:rsidP="00D9564F">
      <w:pPr>
        <w:pStyle w:val="I-Normal1indent"/>
        <w:spacing w:after="0"/>
        <w:ind w:left="0"/>
        <w:rPr>
          <w:b/>
          <w:szCs w:val="20"/>
        </w:rPr>
      </w:pPr>
      <w:r w:rsidRPr="00281428">
        <w:rPr>
          <w:b/>
          <w:szCs w:val="20"/>
        </w:rPr>
        <w:t>Item Under Consideration:</w:t>
      </w:r>
    </w:p>
    <w:p w14:paraId="201DE03A" w14:textId="7758DCBB" w:rsidR="005D640A" w:rsidRPr="00281428" w:rsidRDefault="005D640A" w:rsidP="00D9564F">
      <w:r w:rsidRPr="00281428">
        <w:t>Amend Handbook 130, Uniform Fuels and Automotive Lubricants Regulation as follows:</w:t>
      </w:r>
    </w:p>
    <w:p w14:paraId="352FDDDF" w14:textId="77777777" w:rsidR="005D640A" w:rsidRPr="00281428" w:rsidRDefault="005D640A" w:rsidP="00D9564F">
      <w:pPr>
        <w:autoSpaceDE w:val="0"/>
        <w:autoSpaceDN w:val="0"/>
        <w:adjustRightInd w:val="0"/>
        <w:spacing w:after="60"/>
        <w:rPr>
          <w:rFonts w:ascii="TimesNewRomanPSMT" w:hAnsi="TimesNewRomanPSMT" w:cs="TimesNewRomanPSMT"/>
          <w:szCs w:val="20"/>
        </w:rPr>
      </w:pPr>
      <w:r w:rsidRPr="00281428">
        <w:rPr>
          <w:rFonts w:ascii="TimesNewRomanPS-BoldMT" w:hAnsi="TimesNewRomanPS-BoldMT" w:cs="TimesNewRomanPS-BoldMT"/>
          <w:b/>
          <w:bCs/>
          <w:szCs w:val="20"/>
        </w:rPr>
        <w:t xml:space="preserve">1.23. Ethanol Flex Fuel. </w:t>
      </w:r>
      <w:r w:rsidRPr="00281428">
        <w:rPr>
          <w:rFonts w:ascii="TimesNewRomanPSMT" w:hAnsi="TimesNewRomanPSMT" w:cs="TimesNewRomanPSMT"/>
          <w:szCs w:val="20"/>
        </w:rPr>
        <w:t xml:space="preserve">– Blends of ethanol and hydrocarbons restricted for use as fuel in ground vehicles equipped with flexible-fuel spark-ignition engines. </w:t>
      </w:r>
      <w:r w:rsidRPr="00281428">
        <w:rPr>
          <w:rFonts w:ascii="TimesNewRomanPSMT" w:hAnsi="TimesNewRomanPSMT" w:cs="TimesNewRomanPSMT"/>
          <w:b/>
          <w:szCs w:val="20"/>
          <w:u w:val="single"/>
        </w:rPr>
        <w:t>Ethanol Flex Fuel intended for blending with gasoline and gasoline ethanol blends shall contain certified components e.g., blending of ethanol flex fuel containing natural gas liquids is prohibited unless certified consistent with 40 CFR 80.28(g)(8) requirements.</w:t>
      </w:r>
    </w:p>
    <w:p w14:paraId="085F94D3" w14:textId="77777777" w:rsidR="005D640A" w:rsidRPr="00281428" w:rsidRDefault="005D640A" w:rsidP="00D9564F">
      <w:pPr>
        <w:autoSpaceDE w:val="0"/>
        <w:autoSpaceDN w:val="0"/>
        <w:adjustRightInd w:val="0"/>
        <w:spacing w:after="360"/>
        <w:rPr>
          <w:rFonts w:ascii="TimesNewRomanPSMT" w:hAnsi="TimesNewRomanPSMT" w:cs="TimesNewRomanPSMT"/>
          <w:szCs w:val="20"/>
        </w:rPr>
      </w:pPr>
      <w:r w:rsidRPr="00281428">
        <w:rPr>
          <w:rFonts w:ascii="TimesNewRomanPSMT" w:hAnsi="TimesNewRomanPSMT" w:cs="TimesNewRomanPSMT"/>
          <w:szCs w:val="20"/>
        </w:rPr>
        <w:t xml:space="preserve">Amended 2014 </w:t>
      </w:r>
      <w:r w:rsidRPr="00281428">
        <w:rPr>
          <w:rFonts w:ascii="TimesNewRomanPSMT" w:hAnsi="TimesNewRomanPSMT" w:cs="TimesNewRomanPSMT"/>
          <w:b/>
          <w:szCs w:val="20"/>
          <w:u w:val="single"/>
        </w:rPr>
        <w:t>and 20XX</w:t>
      </w:r>
      <w:r w:rsidRPr="00281428">
        <w:rPr>
          <w:rFonts w:ascii="TimesNewRomanPSMT" w:hAnsi="TimesNewRomanPSMT" w:cs="TimesNewRomanPSMT"/>
          <w:szCs w:val="20"/>
        </w:rPr>
        <w:t>)</w:t>
      </w:r>
    </w:p>
    <w:p w14:paraId="55DD09D7" w14:textId="77777777" w:rsidR="005D640A" w:rsidRPr="00281428" w:rsidRDefault="005D640A" w:rsidP="00D9564F">
      <w:pPr>
        <w:pStyle w:val="ItemHeading"/>
        <w:keepNext w:val="0"/>
        <w:keepLines w:val="0"/>
        <w:tabs>
          <w:tab w:val="clear" w:pos="900"/>
          <w:tab w:val="left" w:pos="1620"/>
        </w:tabs>
      </w:pPr>
      <w:bookmarkStart w:id="143" w:name="_Toc65741449"/>
      <w:r w:rsidRPr="00281428">
        <w:t>B4: FLR-20.6</w:t>
      </w:r>
      <w:r w:rsidRPr="00281428">
        <w:tab/>
        <w:t>W</w:t>
      </w:r>
      <w:r w:rsidRPr="00281428">
        <w:tab/>
        <w:t>Section 2.1.2.(b).  Gasoline-Ethanol Blends</w:t>
      </w:r>
      <w:bookmarkEnd w:id="143"/>
      <w:r w:rsidRPr="00281428">
        <w:t xml:space="preserve"> </w:t>
      </w:r>
    </w:p>
    <w:p w14:paraId="1BCF56DF" w14:textId="77777777" w:rsidR="005D640A" w:rsidRPr="00281428" w:rsidRDefault="005D640A" w:rsidP="00D9564F">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2.1.1.  Gasoline and Gasoline-Oxygenate Blends </w:t>
      </w:r>
      <w:r w:rsidRPr="00281428">
        <w:rPr>
          <w:rFonts w:ascii="TimesNewRomanPSMT" w:hAnsi="TimesNewRomanPSMT" w:cs="TimesNewRomanPSMT"/>
          <w:szCs w:val="20"/>
        </w:rPr>
        <w:t>(as defined in this regulation)</w:t>
      </w:r>
      <w:r w:rsidRPr="00281428">
        <w:rPr>
          <w:rFonts w:ascii="TimesNewRomanPS-BoldMT" w:hAnsi="TimesNewRomanPS-BoldMT" w:cs="TimesNewRomanPS-BoldMT"/>
          <w:b/>
          <w:bCs/>
          <w:szCs w:val="20"/>
        </w:rPr>
        <w:t xml:space="preserve">. </w:t>
      </w:r>
      <w:r w:rsidRPr="00281428">
        <w:rPr>
          <w:rFonts w:ascii="TimesNewRomanPSMT" w:hAnsi="TimesNewRomanPSMT" w:cs="TimesNewRomanPSMT"/>
          <w:szCs w:val="20"/>
        </w:rPr>
        <w:t>– Shall meet the latest version of ASTM D4814, “Standard Specification for Automotive Spark-Ignition Engine Fuel” except for the permissible offsets for ethanol blends as provided in Section 2.1.2. Gasoline-Ethanol Blends.</w:t>
      </w:r>
    </w:p>
    <w:p w14:paraId="7C4473B6" w14:textId="77777777" w:rsidR="005D640A" w:rsidRPr="00281428" w:rsidRDefault="005D640A" w:rsidP="00D9564F">
      <w:pPr>
        <w:autoSpaceDE w:val="0"/>
        <w:autoSpaceDN w:val="0"/>
        <w:adjustRightInd w:val="0"/>
        <w:spacing w:after="0"/>
        <w:ind w:left="1080" w:hanging="360"/>
        <w:rPr>
          <w:rFonts w:ascii="TimesNewRomanPSMT" w:hAnsi="TimesNewRomanPSMT" w:cs="TimesNewRomanPSMT"/>
          <w:szCs w:val="20"/>
        </w:rPr>
      </w:pPr>
      <w:r w:rsidRPr="00281428">
        <w:rPr>
          <w:rFonts w:ascii="TimesNewRomanPSMT" w:hAnsi="TimesNewRomanPSMT" w:cs="TimesNewRomanPSMT"/>
          <w:szCs w:val="20"/>
        </w:rPr>
        <w:lastRenderedPageBreak/>
        <w:t>(a)</w:t>
      </w:r>
      <w:r w:rsidRPr="00281428">
        <w:rPr>
          <w:rFonts w:ascii="TimesNewRomanPSMT" w:hAnsi="TimesNewRomanPSMT" w:cs="TimesNewRomanPSMT"/>
          <w:szCs w:val="20"/>
        </w:rPr>
        <w:tab/>
        <w:t xml:space="preserve">The maximum concentration of oxygenates contained in gasoline-oxygenate blends shall not exceed those permitted by the EPA under Section 211 of the Clean Air Act and applicable waivers. </w:t>
      </w:r>
    </w:p>
    <w:p w14:paraId="691810FD" w14:textId="77777777" w:rsidR="005D640A" w:rsidRPr="00281428" w:rsidRDefault="005D640A" w:rsidP="00D9564F">
      <w:pPr>
        <w:spacing w:before="60"/>
        <w:ind w:left="360"/>
      </w:pPr>
      <w:r w:rsidRPr="00281428">
        <w:rPr>
          <w:rFonts w:ascii="TimesNewRomanPSMT" w:hAnsi="TimesNewRomanPSMT" w:cs="TimesNewRomanPSMT"/>
          <w:szCs w:val="20"/>
        </w:rPr>
        <w:t>(Added 2009) (Amended 2018)</w:t>
      </w:r>
      <w:r w:rsidRPr="00281428">
        <w:t xml:space="preserve">  </w:t>
      </w:r>
    </w:p>
    <w:p w14:paraId="5B50AE1F" w14:textId="77777777" w:rsidR="005D640A" w:rsidRPr="00281428" w:rsidRDefault="005D640A" w:rsidP="00D9564F">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2.1.2. Gasoline-Ethanol Blends. – </w:t>
      </w:r>
      <w:r w:rsidRPr="00281428">
        <w:rPr>
          <w:rFonts w:ascii="TimesNewRomanPSMT" w:hAnsi="TimesNewRomanPSMT" w:cs="TimesNewRomanPSMT"/>
          <w:szCs w:val="20"/>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4134D0E6" w14:textId="77777777" w:rsidR="005D640A" w:rsidRPr="00281428" w:rsidRDefault="005D640A" w:rsidP="00D9564F">
      <w:pPr>
        <w:tabs>
          <w:tab w:val="left" w:pos="1080"/>
        </w:tabs>
        <w:autoSpaceDE w:val="0"/>
        <w:autoSpaceDN w:val="0"/>
        <w:adjustRightInd w:val="0"/>
        <w:ind w:left="720"/>
        <w:rPr>
          <w:rFonts w:ascii="TimesNewRomanPSMT" w:hAnsi="TimesNewRomanPSMT" w:cs="TimesNewRomanPSMT"/>
          <w:szCs w:val="20"/>
        </w:rPr>
      </w:pPr>
      <w:r w:rsidRPr="00281428">
        <w:rPr>
          <w:rFonts w:ascii="TimesNewRomanPSMT" w:hAnsi="TimesNewRomanPSMT" w:cs="TimesNewRomanPSMT"/>
          <w:szCs w:val="20"/>
        </w:rPr>
        <w:t>(a)</w:t>
      </w:r>
      <w:r w:rsidRPr="00281428">
        <w:rPr>
          <w:rFonts w:ascii="TimesNewRomanPSMT" w:hAnsi="TimesNewRomanPSMT" w:cs="TimesNewRomanPSMT"/>
          <w:szCs w:val="20"/>
        </w:rPr>
        <w:tab/>
        <w:t xml:space="preserve">The maximum vapor pressure shall not exceed the latest edition of ASTM D4814, “Standard </w:t>
      </w:r>
      <w:r w:rsidRPr="00281428">
        <w:rPr>
          <w:rFonts w:ascii="TimesNewRomanPSMT" w:hAnsi="TimesNewRomanPSMT" w:cs="TimesNewRomanPSMT"/>
          <w:szCs w:val="20"/>
        </w:rPr>
        <w:tab/>
        <w:t xml:space="preserve">Specification for Automotive Spark-Ignition Engine Fuel,” limits by more than 1.0 psi for blends </w:t>
      </w:r>
      <w:r w:rsidRPr="00281428">
        <w:rPr>
          <w:rFonts w:ascii="TimesNewRomanPSMT" w:hAnsi="TimesNewRomanPSMT" w:cs="TimesNewRomanPSMT"/>
          <w:szCs w:val="20"/>
        </w:rPr>
        <w:tab/>
        <w:t xml:space="preserve">from June 1 through </w:t>
      </w:r>
      <w:r w:rsidRPr="00281428">
        <w:rPr>
          <w:rFonts w:ascii="TimesNewRomanPSMT" w:hAnsi="TimesNewRomanPSMT" w:cs="TimesNewRomanPSMT"/>
          <w:szCs w:val="20"/>
        </w:rPr>
        <w:tab/>
        <w:t>September 15 as allowed by EPA per 40 CFR 80.27(d).</w:t>
      </w:r>
    </w:p>
    <w:p w14:paraId="223EE824" w14:textId="77777777" w:rsidR="005D640A" w:rsidRPr="00281428" w:rsidRDefault="005D640A" w:rsidP="00D9564F">
      <w:pPr>
        <w:autoSpaceDE w:val="0"/>
        <w:autoSpaceDN w:val="0"/>
        <w:adjustRightInd w:val="0"/>
        <w:spacing w:after="0"/>
        <w:ind w:left="1080" w:hanging="360"/>
        <w:rPr>
          <w:rFonts w:ascii="TimesNewRomanPSMT" w:hAnsi="TimesNewRomanPSMT" w:cs="TimesNewRomanPSMT"/>
          <w:b/>
          <w:szCs w:val="20"/>
          <w:u w:val="single"/>
        </w:rPr>
      </w:pPr>
      <w:r w:rsidRPr="00281428">
        <w:rPr>
          <w:rFonts w:ascii="TimesNewRomanPSMT" w:hAnsi="TimesNewRomanPSMT" w:cs="TimesNewRomanPSMT"/>
          <w:b/>
          <w:szCs w:val="20"/>
          <w:u w:val="single"/>
        </w:rPr>
        <w:t>(b)</w:t>
      </w:r>
      <w:r w:rsidRPr="00281428">
        <w:rPr>
          <w:rFonts w:ascii="TimesNewRomanPSMT" w:hAnsi="TimesNewRomanPSMT" w:cs="TimesNewRomanPSMT"/>
          <w:b/>
          <w:szCs w:val="20"/>
        </w:rPr>
        <w:tab/>
      </w:r>
      <w:r w:rsidRPr="00281428">
        <w:rPr>
          <w:rFonts w:ascii="TimesNewRomanPSMT" w:hAnsi="TimesNewRomanPSMT" w:cs="TimesNewRomanPSMT"/>
          <w:b/>
          <w:szCs w:val="20"/>
          <w:u w:val="single"/>
        </w:rPr>
        <w:t xml:space="preserve">An ethanol blender, distributor, reseller, carrier, </w:t>
      </w:r>
      <w:proofErr w:type="gramStart"/>
      <w:r w:rsidRPr="00281428">
        <w:rPr>
          <w:rFonts w:ascii="TimesNewRomanPSMT" w:hAnsi="TimesNewRomanPSMT" w:cs="TimesNewRomanPSMT"/>
          <w:b/>
          <w:szCs w:val="20"/>
          <w:u w:val="single"/>
        </w:rPr>
        <w:t>retailer</w:t>
      </w:r>
      <w:proofErr w:type="gramEnd"/>
      <w:r w:rsidRPr="00281428">
        <w:rPr>
          <w:rFonts w:ascii="TimesNewRomanPSMT" w:hAnsi="TimesNewRomanPSMT" w:cs="TimesNewRomanPSMT"/>
          <w:b/>
          <w:szCs w:val="20"/>
          <w:u w:val="single"/>
        </w:rPr>
        <w:t xml:space="preserve"> or wholesale purchaser-consumer who exceeds the applicable standard by more than 1.0 psi, shall demonstrate, by showing receipt of a certification from the facility from which the gasoline, gasoline-ethanol blend or ethanol flex fuel blend was received, that the hydrocarbon portion of the blend complies with the Reid vapor pressure and other limitations of 40 CFR 80.27(a), as required in 40 CFR 80.28(g)(8).  The certification shall be supported by evidence that the above criteria have been met, such as an oversight program which includes periodic sampling and testing of the gasoline or monitoring the volatility and ethanol content of the gasoline.</w:t>
      </w:r>
    </w:p>
    <w:p w14:paraId="625C65B9" w14:textId="77777777" w:rsidR="005D640A" w:rsidRPr="00281428" w:rsidRDefault="005D640A" w:rsidP="00D9564F">
      <w:pPr>
        <w:autoSpaceDE w:val="0"/>
        <w:autoSpaceDN w:val="0"/>
        <w:adjustRightInd w:val="0"/>
        <w:spacing w:before="60" w:after="0"/>
        <w:ind w:left="1080"/>
        <w:rPr>
          <w:rFonts w:ascii="TimesNewRomanPSMT" w:hAnsi="TimesNewRomanPSMT" w:cs="TimesNewRomanPSMT"/>
          <w:b/>
          <w:bCs/>
          <w:szCs w:val="20"/>
          <w:u w:val="single"/>
        </w:rPr>
      </w:pPr>
      <w:r w:rsidRPr="00281428">
        <w:rPr>
          <w:rFonts w:ascii="TimesNewRomanPSMT" w:hAnsi="TimesNewRomanPSMT" w:cs="TimesNewRomanPSMT"/>
          <w:b/>
          <w:bCs/>
          <w:szCs w:val="20"/>
          <w:u w:val="single"/>
        </w:rPr>
        <w:t>(Added 20XX)</w:t>
      </w:r>
    </w:p>
    <w:p w14:paraId="0DB75056" w14:textId="77777777" w:rsidR="005D640A" w:rsidRPr="00281428" w:rsidRDefault="005D640A" w:rsidP="00D9564F">
      <w:pPr>
        <w:spacing w:before="60"/>
        <w:ind w:left="720"/>
        <w:rPr>
          <w:rFonts w:ascii="TimesNewRomanPSMT" w:hAnsi="TimesNewRomanPSMT" w:cs="TimesNewRomanPSMT"/>
          <w:szCs w:val="20"/>
        </w:rPr>
      </w:pPr>
      <w:r w:rsidRPr="00281428">
        <w:rPr>
          <w:rFonts w:ascii="TimesNewRomanPSMT" w:hAnsi="TimesNewRomanPSMT" w:cs="TimesNewRomanPSMT"/>
          <w:szCs w:val="20"/>
        </w:rPr>
        <w:t>(Amended 2016</w:t>
      </w:r>
      <w:r w:rsidRPr="00281428">
        <w:rPr>
          <w:rFonts w:ascii="TimesNewRomanPSMT" w:hAnsi="TimesNewRomanPSMT" w:cs="TimesNewRomanPSMT"/>
          <w:b/>
          <w:szCs w:val="20"/>
          <w:u w:val="single"/>
        </w:rPr>
        <w:t>,</w:t>
      </w:r>
      <w:r w:rsidRPr="00281428">
        <w:rPr>
          <w:rFonts w:ascii="TimesNewRomanPSMT" w:hAnsi="TimesNewRomanPSMT" w:cs="TimesNewRomanPSMT"/>
          <w:b/>
          <w:strike/>
          <w:szCs w:val="20"/>
        </w:rPr>
        <w:t xml:space="preserve"> and</w:t>
      </w:r>
      <w:r w:rsidRPr="00281428">
        <w:rPr>
          <w:rFonts w:ascii="TimesNewRomanPSMT" w:hAnsi="TimesNewRomanPSMT" w:cs="TimesNewRomanPSMT"/>
          <w:szCs w:val="20"/>
        </w:rPr>
        <w:t xml:space="preserve"> 2018,2019 </w:t>
      </w:r>
      <w:r w:rsidRPr="00281428">
        <w:rPr>
          <w:rFonts w:ascii="TimesNewRomanPSMT" w:hAnsi="TimesNewRomanPSMT" w:cs="TimesNewRomanPSMT"/>
          <w:b/>
          <w:szCs w:val="20"/>
          <w:u w:val="single"/>
        </w:rPr>
        <w:t>and 20XX</w:t>
      </w:r>
      <w:r w:rsidRPr="00281428">
        <w:rPr>
          <w:rFonts w:ascii="TimesNewRomanPSMT" w:hAnsi="TimesNewRomanPSMT" w:cs="TimesNewRomanPSMT"/>
          <w:szCs w:val="20"/>
        </w:rPr>
        <w:t>)</w:t>
      </w:r>
    </w:p>
    <w:p w14:paraId="4C91BCD2" w14:textId="77777777" w:rsidR="005D640A" w:rsidRPr="00281428" w:rsidRDefault="005D640A" w:rsidP="00D9564F">
      <w:pPr>
        <w:spacing w:after="0"/>
        <w:ind w:left="360"/>
        <w:rPr>
          <w:rFonts w:ascii="TimesNewRomanPSMT" w:hAnsi="TimesNewRomanPSMT" w:cs="TimesNewRomanPSMT"/>
          <w:i/>
          <w:iCs/>
          <w:szCs w:val="20"/>
        </w:rPr>
      </w:pPr>
      <w:r w:rsidRPr="00281428">
        <w:rPr>
          <w:rFonts w:ascii="TimesNewRomanPSMT" w:hAnsi="TimesNewRomanPSMT" w:cs="TimesNewRomanPSMT"/>
          <w:b/>
          <w:bCs/>
          <w:i/>
          <w:iCs/>
          <w:szCs w:val="20"/>
        </w:rPr>
        <w:t>NOTE 1:</w:t>
      </w:r>
      <w:r w:rsidRPr="00281428">
        <w:rPr>
          <w:rFonts w:ascii="TimesNewRomanPSMT" w:hAnsi="TimesNewRomanPSMT" w:cs="TimesNewRomanPSMT"/>
          <w:i/>
          <w:iCs/>
          <w:szCs w:val="20"/>
        </w:rPr>
        <w:t xml:space="preserve"> The values shown above appear only in U.S. customary units to ensure that the values are identical to those in ASTM standards and the Environmental Protection Agency regulation.</w:t>
      </w:r>
    </w:p>
    <w:p w14:paraId="0E05AC5E" w14:textId="77777777" w:rsidR="005D640A" w:rsidRPr="00281428" w:rsidRDefault="005D640A" w:rsidP="00D9564F">
      <w:pPr>
        <w:autoSpaceDE w:val="0"/>
        <w:autoSpaceDN w:val="0"/>
        <w:adjustRightInd w:val="0"/>
        <w:spacing w:after="360"/>
        <w:ind w:left="360"/>
        <w:rPr>
          <w:rFonts w:ascii="TimesNewRomanPSMT" w:hAnsi="TimesNewRomanPSMT" w:cs="TimesNewRomanPSMT"/>
          <w:szCs w:val="20"/>
        </w:rPr>
      </w:pPr>
      <w:r w:rsidRPr="00281428">
        <w:rPr>
          <w:rFonts w:ascii="TimesNewRomanPSMT" w:hAnsi="TimesNewRomanPSMT" w:cs="TimesNewRomanPSMT"/>
          <w:szCs w:val="20"/>
        </w:rPr>
        <w:t>(Added 2009) (Amended 2012 and 2016)</w:t>
      </w:r>
    </w:p>
    <w:p w14:paraId="0AB25117" w14:textId="77777777" w:rsidR="005D640A" w:rsidRPr="00281428" w:rsidRDefault="005D640A" w:rsidP="00D9564F">
      <w:pPr>
        <w:pStyle w:val="ItemHeading"/>
        <w:keepNext w:val="0"/>
        <w:keepLines w:val="0"/>
        <w:tabs>
          <w:tab w:val="clear" w:pos="900"/>
          <w:tab w:val="left" w:pos="1620"/>
        </w:tabs>
      </w:pPr>
      <w:bookmarkStart w:id="144" w:name="_Toc65741450"/>
      <w:r w:rsidRPr="00281428">
        <w:t>B4: FLR-20.7</w:t>
      </w:r>
      <w:r w:rsidRPr="00281428">
        <w:tab/>
        <w:t>W</w:t>
      </w:r>
      <w:r w:rsidRPr="00281428">
        <w:tab/>
        <w:t>Section 3.2.5. Documentation for Dispenser Labeling Purposes</w:t>
      </w:r>
      <w:bookmarkEnd w:id="144"/>
    </w:p>
    <w:p w14:paraId="75DDA902" w14:textId="77777777" w:rsidR="005D640A" w:rsidRPr="00281428" w:rsidRDefault="005D640A" w:rsidP="00D9564F">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3.2.5.  Documentation for Dispenser Labeling Purposes. </w:t>
      </w:r>
      <w:r w:rsidRPr="00281428">
        <w:rPr>
          <w:rFonts w:ascii="TimesNewRomanPSMT" w:hAnsi="TimesNewRomanPSMT" w:cs="TimesNewRomanPSMT"/>
          <w:szCs w:val="20"/>
        </w:rPr>
        <w:t xml:space="preserve">– For automotive gasoline, automotive gasoline </w:t>
      </w:r>
      <w:proofErr w:type="gramStart"/>
      <w:r w:rsidRPr="00281428">
        <w:rPr>
          <w:rFonts w:ascii="TimesNewRomanPSMT" w:hAnsi="TimesNewRomanPSMT" w:cs="TimesNewRomanPSMT"/>
          <w:szCs w:val="20"/>
        </w:rPr>
        <w:t>oxygenate</w:t>
      </w:r>
      <w:proofErr w:type="gramEnd"/>
      <w:r w:rsidRPr="00281428">
        <w:rPr>
          <w:rFonts w:ascii="TimesNewRomanPSMT" w:hAnsi="TimesNewRomanPSMT" w:cs="TimesNewRomanPSMT"/>
          <w:szCs w:val="20"/>
        </w:rPr>
        <w:t xml:space="preserve"> blends</w:t>
      </w:r>
      <w:r w:rsidRPr="00281428">
        <w:rPr>
          <w:rFonts w:ascii="TimesNewRomanPSMT" w:hAnsi="TimesNewRomanPSMT" w:cs="TimesNewRomanPSMT"/>
          <w:b/>
          <w:bCs/>
          <w:szCs w:val="20"/>
          <w:u w:val="single"/>
        </w:rPr>
        <w:t>, ethanol flex fuel for blending</w:t>
      </w:r>
      <w:r w:rsidRPr="00281428">
        <w:rPr>
          <w:rFonts w:ascii="TimesNewRomanPSMT" w:hAnsi="TimesNewRomanPSMT" w:cs="TimesNewRomanPSMT"/>
          <w:szCs w:val="20"/>
        </w:rPr>
        <w:t xml:space="preserve"> or racing gasoline, the retailer shall be provided, at the time of delivery of the fuel, on product transfer documents such as an invoice, bill of lading, shipping paper, or other documentation:</w:t>
      </w:r>
    </w:p>
    <w:p w14:paraId="53A9A0C5" w14:textId="77777777" w:rsidR="005D640A" w:rsidRPr="00281428" w:rsidRDefault="005D640A" w:rsidP="00D9564F">
      <w:pPr>
        <w:pStyle w:val="ListParagraph"/>
        <w:numPr>
          <w:ilvl w:val="0"/>
          <w:numId w:val="37"/>
        </w:numPr>
        <w:spacing w:after="60"/>
        <w:ind w:left="1080"/>
      </w:pPr>
      <w:r w:rsidRPr="00281428">
        <w:t xml:space="preserve">Information </w:t>
      </w:r>
      <w:r w:rsidRPr="00281428">
        <w:rPr>
          <w:b/>
          <w:bCs/>
          <w:strike/>
        </w:rPr>
        <w:t>that complies with 40 CFR 80.1503</w:t>
      </w:r>
      <w:r w:rsidRPr="00281428">
        <w:t xml:space="preserve"> when the fuel contains ethanol </w:t>
      </w:r>
      <w:r w:rsidRPr="00281428">
        <w:rPr>
          <w:b/>
          <w:u w:val="single"/>
        </w:rPr>
        <w:t>as described below</w:t>
      </w:r>
      <w:r w:rsidRPr="00281428">
        <w:t xml:space="preserve">. </w:t>
      </w:r>
    </w:p>
    <w:p w14:paraId="2D8986E6" w14:textId="77777777" w:rsidR="005D640A" w:rsidRPr="00281428" w:rsidRDefault="005D640A" w:rsidP="00D9564F">
      <w:pPr>
        <w:autoSpaceDE w:val="0"/>
        <w:autoSpaceDN w:val="0"/>
        <w:adjustRightInd w:val="0"/>
        <w:ind w:left="547" w:firstLine="533"/>
        <w:rPr>
          <w:rFonts w:ascii="TimesNewRomanPSMT" w:hAnsi="TimesNewRomanPSMT" w:cs="TimesNewRomanPSMT"/>
          <w:szCs w:val="20"/>
        </w:rPr>
      </w:pPr>
      <w:r w:rsidRPr="00281428">
        <w:rPr>
          <w:rFonts w:ascii="TimesNewRomanPSMT" w:hAnsi="TimesNewRomanPSMT" w:cs="TimesNewRomanPSMT"/>
          <w:szCs w:val="20"/>
        </w:rPr>
        <w:t xml:space="preserve">(Added 2014, </w:t>
      </w:r>
      <w:r w:rsidRPr="00281428">
        <w:rPr>
          <w:rFonts w:ascii="TimesNewRomanPSMT" w:hAnsi="TimesNewRomanPSMT" w:cs="TimesNewRomanPSMT"/>
          <w:b/>
          <w:bCs/>
          <w:szCs w:val="20"/>
          <w:u w:val="single"/>
        </w:rPr>
        <w:t>Amended 20XX</w:t>
      </w:r>
      <w:r w:rsidRPr="00281428">
        <w:rPr>
          <w:rFonts w:ascii="TimesNewRomanPSMT" w:hAnsi="TimesNewRomanPSMT" w:cs="TimesNewRomanPSMT"/>
          <w:szCs w:val="20"/>
        </w:rPr>
        <w:t xml:space="preserve">) </w:t>
      </w:r>
    </w:p>
    <w:p w14:paraId="1008FD86" w14:textId="008E2308" w:rsidR="005D640A" w:rsidRPr="00281428" w:rsidRDefault="005D640A" w:rsidP="00D9564F">
      <w:pPr>
        <w:autoSpaceDE w:val="0"/>
        <w:autoSpaceDN w:val="0"/>
        <w:adjustRightInd w:val="0"/>
        <w:ind w:left="1440" w:hanging="360"/>
        <w:rPr>
          <w:rFonts w:ascii="TimesNewRomanPSMT" w:hAnsi="TimesNewRomanPSMT" w:cs="TimesNewRomanPSMT"/>
          <w:b/>
          <w:szCs w:val="20"/>
          <w:u w:val="single"/>
        </w:rPr>
      </w:pPr>
      <w:r w:rsidRPr="00281428">
        <w:rPr>
          <w:rFonts w:ascii="TimesNewRomanPSMT" w:hAnsi="TimesNewRomanPSMT" w:cs="TimesNewRomanPSMT"/>
          <w:b/>
          <w:szCs w:val="20"/>
          <w:u w:val="single"/>
        </w:rPr>
        <w:t>(1)</w:t>
      </w:r>
      <w:r w:rsidRPr="00281428">
        <w:rPr>
          <w:rFonts w:ascii="TimesNewRomanPSMT" w:hAnsi="TimesNewRomanPSMT" w:cs="TimesNewRomanPSMT"/>
          <w:b/>
          <w:szCs w:val="20"/>
          <w:u w:val="single"/>
        </w:rPr>
        <w:tab/>
        <w:t xml:space="preserve">Per 40 CFR 80.1503, For gasoline containing less than 9 volume percent ethanol, the following statement: “EX - Contains up to X% ethanol. </w:t>
      </w:r>
      <w:r w:rsidR="00ED5C0C" w:rsidRPr="00281428">
        <w:rPr>
          <w:rFonts w:ascii="TimesNewRomanPSMT" w:hAnsi="TimesNewRomanPSMT" w:cs="TimesNewRomanPSMT"/>
          <w:b/>
          <w:szCs w:val="20"/>
          <w:u w:val="single"/>
        </w:rPr>
        <w:t xml:space="preserve"> </w:t>
      </w:r>
      <w:r w:rsidRPr="00281428">
        <w:rPr>
          <w:rFonts w:ascii="TimesNewRomanPSMT" w:hAnsi="TimesNewRomanPSMT" w:cs="TimesNewRomanPSMT"/>
          <w:b/>
          <w:szCs w:val="20"/>
          <w:u w:val="single"/>
        </w:rPr>
        <w:t xml:space="preserve">The RVP does not exceed [fill in appropriate value] psi.” The term X refers to the maximum volume percent ethanol present in the gasoline. </w:t>
      </w:r>
    </w:p>
    <w:p w14:paraId="43F2BA99" w14:textId="77777777" w:rsidR="005D640A" w:rsidRPr="00281428" w:rsidRDefault="005D640A" w:rsidP="00D9564F">
      <w:pPr>
        <w:autoSpaceDE w:val="0"/>
        <w:autoSpaceDN w:val="0"/>
        <w:adjustRightInd w:val="0"/>
        <w:ind w:left="1440" w:hanging="360"/>
        <w:rPr>
          <w:rFonts w:ascii="TimesNewRomanPSMT" w:hAnsi="TimesNewRomanPSMT" w:cs="TimesNewRomanPSMT"/>
          <w:b/>
          <w:szCs w:val="20"/>
          <w:u w:val="single"/>
        </w:rPr>
      </w:pPr>
      <w:r w:rsidRPr="00281428">
        <w:rPr>
          <w:rFonts w:ascii="TimesNewRomanPSMT" w:hAnsi="TimesNewRomanPSMT" w:cs="TimesNewRomanPSMT"/>
          <w:b/>
          <w:szCs w:val="20"/>
          <w:u w:val="single"/>
        </w:rPr>
        <w:t>(2)</w:t>
      </w:r>
      <w:r w:rsidRPr="00281428">
        <w:rPr>
          <w:rFonts w:ascii="TimesNewRomanPSMT" w:hAnsi="TimesNewRomanPSMT" w:cs="TimesNewRomanPSMT"/>
          <w:b/>
          <w:szCs w:val="20"/>
          <w:u w:val="single"/>
        </w:rPr>
        <w:tab/>
        <w:t>Per 40 CFR 80.1503, For gasoline containing 9 or more volume percent ethanol, a conspicuous statement that the gasoline being shipped contains ethanol and the percentage concentration of ethanol as described in 40 CFR 80.27(d)(3).</w:t>
      </w:r>
    </w:p>
    <w:p w14:paraId="51ED4CE8" w14:textId="67E2AC84" w:rsidR="005D640A" w:rsidRPr="00281428" w:rsidRDefault="005D640A" w:rsidP="00D9564F">
      <w:pPr>
        <w:autoSpaceDE w:val="0"/>
        <w:autoSpaceDN w:val="0"/>
        <w:adjustRightInd w:val="0"/>
        <w:spacing w:after="60"/>
        <w:ind w:left="1440" w:hanging="360"/>
        <w:rPr>
          <w:rFonts w:ascii="TimesNewRomanPSMT" w:hAnsi="TimesNewRomanPSMT" w:cs="TimesNewRomanPSMT"/>
          <w:b/>
          <w:szCs w:val="20"/>
          <w:u w:val="single"/>
        </w:rPr>
      </w:pPr>
      <w:r w:rsidRPr="00281428">
        <w:rPr>
          <w:rFonts w:ascii="TimesNewRomanPSMT" w:hAnsi="TimesNewRomanPSMT" w:cs="TimesNewRomanPSMT"/>
          <w:b/>
          <w:szCs w:val="20"/>
          <w:u w:val="single"/>
        </w:rPr>
        <w:t>(3)</w:t>
      </w:r>
      <w:r w:rsidRPr="00281428">
        <w:rPr>
          <w:rFonts w:ascii="TimesNewRomanPSMT" w:hAnsi="TimesNewRomanPSMT" w:cs="TimesNewRomanPSMT"/>
          <w:b/>
          <w:szCs w:val="20"/>
          <w:u w:val="single"/>
        </w:rPr>
        <w:tab/>
        <w:t xml:space="preserve">To meet the requirements of 40 CFR 80.28(g)(8), for ethanol flex fuel intended for blending with gasoline or gasoline-ethanol blends, to make gasoline containing not more than 15 volume percent ethanol, the following statement: “EXX contains XX% ethanol.” </w:t>
      </w:r>
      <w:r w:rsidR="00ED5C0C" w:rsidRPr="00281428">
        <w:rPr>
          <w:rFonts w:ascii="TimesNewRomanPSMT" w:hAnsi="TimesNewRomanPSMT" w:cs="TimesNewRomanPSMT"/>
          <w:b/>
          <w:szCs w:val="20"/>
          <w:u w:val="single"/>
        </w:rPr>
        <w:t xml:space="preserve"> </w:t>
      </w:r>
      <w:r w:rsidRPr="00281428">
        <w:rPr>
          <w:rFonts w:ascii="TimesNewRomanPSMT" w:hAnsi="TimesNewRomanPSMT" w:cs="TimesNewRomanPSMT"/>
          <w:b/>
          <w:szCs w:val="20"/>
          <w:u w:val="single"/>
        </w:rPr>
        <w:t>The term XX refers to the volume percent ethanol present.</w:t>
      </w:r>
    </w:p>
    <w:p w14:paraId="17AC4B82" w14:textId="77777777" w:rsidR="005D640A" w:rsidRPr="00281428" w:rsidRDefault="005D640A" w:rsidP="00D9564F">
      <w:pPr>
        <w:autoSpaceDE w:val="0"/>
        <w:autoSpaceDN w:val="0"/>
        <w:adjustRightInd w:val="0"/>
        <w:ind w:left="720" w:firstLine="360"/>
        <w:rPr>
          <w:rFonts w:ascii="TimesNewRomanPSMT" w:hAnsi="TimesNewRomanPSMT" w:cs="TimesNewRomanPSMT"/>
          <w:szCs w:val="20"/>
        </w:rPr>
      </w:pPr>
      <w:r w:rsidRPr="00281428">
        <w:rPr>
          <w:rFonts w:ascii="TimesNewRomanPSMT" w:hAnsi="TimesNewRomanPSMT" w:cs="TimesNewRomanPSMT"/>
          <w:b/>
          <w:szCs w:val="20"/>
          <w:u w:val="single"/>
        </w:rPr>
        <w:t>(Added 20XX)</w:t>
      </w:r>
    </w:p>
    <w:p w14:paraId="47D96AEE" w14:textId="77777777" w:rsidR="005D640A" w:rsidRPr="00281428" w:rsidRDefault="005D640A" w:rsidP="00D9564F">
      <w:pPr>
        <w:autoSpaceDE w:val="0"/>
        <w:autoSpaceDN w:val="0"/>
        <w:adjustRightInd w:val="0"/>
        <w:spacing w:after="60"/>
        <w:ind w:left="1080" w:hanging="360"/>
        <w:rPr>
          <w:rFonts w:ascii="TimesNewRomanPSMT" w:hAnsi="TimesNewRomanPSMT" w:cs="TimesNewRomanPSMT"/>
          <w:szCs w:val="20"/>
        </w:rPr>
      </w:pPr>
      <w:r w:rsidRPr="00281428">
        <w:rPr>
          <w:rFonts w:ascii="TimesNewRomanPSMT" w:hAnsi="TimesNewRomanPSMT" w:cs="TimesNewRomanPSMT"/>
          <w:szCs w:val="20"/>
        </w:rPr>
        <w:lastRenderedPageBreak/>
        <w:t>(b)</w:t>
      </w:r>
      <w:r w:rsidRPr="00281428">
        <w:rPr>
          <w:rFonts w:ascii="TimesNewRomanPSMT" w:hAnsi="TimesNewRomanPSMT" w:cs="TimesNewRomanPSMT"/>
          <w:szCs w:val="20"/>
        </w:rPr>
        <w:tab/>
        <w:t>For fuels that do not contain ethanol, information that complies with 40 CFR 80.1503 and a declaration of the predominant oxygenate or combination of oxygenates present in concentrations sufficient to yield an oxygenate content of at least 1.0 % by volume in the fuel. Where mixtures of only ethers are present, the fuel supplier may identify either the predominant oxygenate in the fuel (i.e., the oxygenate contributing the largest mass percent oxygen) or alternatively, use the phrase “contains MTBE or other ethers.”</w:t>
      </w:r>
    </w:p>
    <w:p w14:paraId="7AE808D8" w14:textId="77777777" w:rsidR="005D640A" w:rsidRPr="00281428" w:rsidRDefault="005D640A" w:rsidP="00D9564F">
      <w:pPr>
        <w:autoSpaceDE w:val="0"/>
        <w:autoSpaceDN w:val="0"/>
        <w:adjustRightInd w:val="0"/>
        <w:ind w:left="1267" w:hanging="187"/>
        <w:rPr>
          <w:rFonts w:ascii="TimesNewRomanPSMT" w:hAnsi="TimesNewRomanPSMT" w:cs="TimesNewRomanPSMT"/>
          <w:szCs w:val="20"/>
        </w:rPr>
      </w:pPr>
      <w:r w:rsidRPr="00281428">
        <w:rPr>
          <w:rFonts w:ascii="TimesNewRomanPSMT" w:hAnsi="TimesNewRomanPSMT" w:cs="TimesNewRomanPSMT"/>
          <w:szCs w:val="20"/>
        </w:rPr>
        <w:t>(Added 2014)</w:t>
      </w:r>
    </w:p>
    <w:p w14:paraId="32A84540" w14:textId="77777777" w:rsidR="005D640A" w:rsidRPr="00281428" w:rsidRDefault="005D640A" w:rsidP="00D9564F">
      <w:pPr>
        <w:autoSpaceDE w:val="0"/>
        <w:autoSpaceDN w:val="0"/>
        <w:adjustRightInd w:val="0"/>
        <w:spacing w:after="60"/>
        <w:ind w:left="1080" w:hanging="360"/>
        <w:rPr>
          <w:rFonts w:ascii="TimesNewRomanPSMT" w:hAnsi="TimesNewRomanPSMT" w:cs="TimesNewRomanPSMT"/>
          <w:szCs w:val="20"/>
        </w:rPr>
      </w:pPr>
      <w:r w:rsidRPr="00281428">
        <w:rPr>
          <w:rFonts w:ascii="TimesNewRomanPSMT" w:hAnsi="TimesNewRomanPSMT" w:cs="TimesNewRomanPSMT"/>
          <w:szCs w:val="20"/>
        </w:rPr>
        <w:t>(c)</w:t>
      </w:r>
      <w:r w:rsidRPr="00281428">
        <w:rPr>
          <w:rFonts w:ascii="TimesNewRomanPSMT" w:hAnsi="TimesNewRomanPSMT" w:cs="TimesNewRomanPSMT"/>
          <w:szCs w:val="20"/>
        </w:rPr>
        <w:tab/>
        <w:t>Gasoline containing more than 0.3 % by volume methanol shall be identified as “with” or “containing” methanol.</w:t>
      </w:r>
    </w:p>
    <w:p w14:paraId="7C75689C" w14:textId="77777777" w:rsidR="005D640A" w:rsidRPr="00281428" w:rsidRDefault="005D640A" w:rsidP="00D9564F">
      <w:pPr>
        <w:autoSpaceDE w:val="0"/>
        <w:autoSpaceDN w:val="0"/>
        <w:adjustRightInd w:val="0"/>
        <w:spacing w:after="60"/>
        <w:ind w:left="1080"/>
        <w:rPr>
          <w:rFonts w:ascii="TimesNewRomanPSMT" w:hAnsi="TimesNewRomanPSMT" w:cs="TimesNewRomanPSMT"/>
          <w:szCs w:val="20"/>
        </w:rPr>
      </w:pPr>
      <w:r w:rsidRPr="00281428">
        <w:rPr>
          <w:rFonts w:ascii="TimesNewRomanPSMT" w:hAnsi="TimesNewRomanPSMT" w:cs="TimesNewRomanPSMT"/>
          <w:szCs w:val="20"/>
        </w:rPr>
        <w:t>(Added 2014) (Amended 2018)</w:t>
      </w:r>
    </w:p>
    <w:p w14:paraId="3F3B2A00" w14:textId="77777777" w:rsidR="005D640A" w:rsidRPr="00281428" w:rsidRDefault="005D640A" w:rsidP="00D9564F">
      <w:pPr>
        <w:autoSpaceDE w:val="0"/>
        <w:autoSpaceDN w:val="0"/>
        <w:adjustRightInd w:val="0"/>
        <w:ind w:left="1440" w:hanging="720"/>
        <w:rPr>
          <w:rFonts w:ascii="TimesNewRomanPSMT" w:hAnsi="TimesNewRomanPSMT" w:cs="TimesNewRomanPSMT"/>
          <w:szCs w:val="20"/>
        </w:rPr>
      </w:pPr>
      <w:r w:rsidRPr="00281428">
        <w:rPr>
          <w:rFonts w:ascii="TimesNewRomanPSMT" w:hAnsi="TimesNewRomanPSMT" w:cs="TimesNewRomanPSMT"/>
          <w:szCs w:val="20"/>
        </w:rPr>
        <w:t xml:space="preserve">(Amended 1996, 2014, </w:t>
      </w:r>
      <w:r w:rsidRPr="00281428">
        <w:rPr>
          <w:rFonts w:ascii="TimesNewRomanPSMT" w:hAnsi="TimesNewRomanPSMT" w:cs="TimesNewRomanPSMT"/>
          <w:b/>
          <w:strike/>
          <w:szCs w:val="20"/>
        </w:rPr>
        <w:t>and</w:t>
      </w:r>
      <w:r w:rsidRPr="00281428">
        <w:rPr>
          <w:rFonts w:ascii="TimesNewRomanPSMT" w:hAnsi="TimesNewRomanPSMT" w:cs="TimesNewRomanPSMT"/>
          <w:szCs w:val="20"/>
        </w:rPr>
        <w:t xml:space="preserve"> 2018 </w:t>
      </w:r>
      <w:r w:rsidRPr="00281428">
        <w:rPr>
          <w:rFonts w:ascii="TimesNewRomanPSMT" w:hAnsi="TimesNewRomanPSMT" w:cs="TimesNewRomanPSMT"/>
          <w:b/>
          <w:szCs w:val="20"/>
          <w:u w:val="single"/>
        </w:rPr>
        <w:t>and 20XX</w:t>
      </w:r>
      <w:r w:rsidRPr="00281428">
        <w:rPr>
          <w:rFonts w:ascii="TimesNewRomanPSMT" w:hAnsi="TimesNewRomanPSMT" w:cs="TimesNewRomanPSMT"/>
          <w:szCs w:val="20"/>
        </w:rPr>
        <w:t>)</w:t>
      </w:r>
    </w:p>
    <w:p w14:paraId="5BC70941" w14:textId="77777777" w:rsidR="005D640A" w:rsidRPr="00281428" w:rsidRDefault="005D640A" w:rsidP="00D9564F">
      <w:pPr>
        <w:spacing w:after="0"/>
        <w:rPr>
          <w:b/>
        </w:rPr>
      </w:pPr>
      <w:r w:rsidRPr="00281428">
        <w:rPr>
          <w:b/>
        </w:rPr>
        <w:t>Background/Discussion:</w:t>
      </w:r>
    </w:p>
    <w:p w14:paraId="7DBAF8D9" w14:textId="77777777" w:rsidR="005D640A" w:rsidRPr="00281428" w:rsidRDefault="005D640A" w:rsidP="00D9564F">
      <w:r w:rsidRPr="00281428">
        <w:t>This item has been assigned to the Fuels and Lubricants Subcommittee for further development.  For more information or to provide comment, please contact the subcommittee chair:</w:t>
      </w:r>
    </w:p>
    <w:p w14:paraId="08E98ECD" w14:textId="3DF25309" w:rsidR="005D640A" w:rsidRPr="00281428" w:rsidRDefault="005D640A" w:rsidP="00D9564F">
      <w:pPr>
        <w:pStyle w:val="BoldHeading"/>
        <w:ind w:left="720"/>
        <w:rPr>
          <w:b w:val="0"/>
        </w:rPr>
      </w:pPr>
      <w:r w:rsidRPr="00281428">
        <w:rPr>
          <w:b w:val="0"/>
        </w:rPr>
        <w:t>Mr. Bill Striejewske</w:t>
      </w:r>
      <w:r w:rsidR="00126617">
        <w:rPr>
          <w:b w:val="0"/>
        </w:rPr>
        <w:t>, FALS Chair</w:t>
      </w:r>
    </w:p>
    <w:p w14:paraId="03180C98" w14:textId="524B2323" w:rsidR="005D640A" w:rsidRPr="00281428" w:rsidRDefault="005D640A" w:rsidP="00D9564F">
      <w:pPr>
        <w:pStyle w:val="BoldHeading"/>
        <w:ind w:left="720"/>
        <w:rPr>
          <w:b w:val="0"/>
        </w:rPr>
      </w:pPr>
      <w:r w:rsidRPr="00281428">
        <w:rPr>
          <w:b w:val="0"/>
        </w:rPr>
        <w:t>Nevada Department of Agriculture</w:t>
      </w:r>
      <w:r w:rsidR="0047558E">
        <w:rPr>
          <w:b w:val="0"/>
        </w:rPr>
        <w:t xml:space="preserve">, </w:t>
      </w:r>
      <w:r w:rsidRPr="00281428">
        <w:rPr>
          <w:b w:val="0"/>
        </w:rPr>
        <w:t>Bureau of Petroleum Technology</w:t>
      </w:r>
    </w:p>
    <w:p w14:paraId="4CA7C696" w14:textId="4088CD4A" w:rsidR="005D640A" w:rsidRPr="00896F00" w:rsidRDefault="005D640A" w:rsidP="0047558E">
      <w:pPr>
        <w:pStyle w:val="NoSpacing"/>
        <w:spacing w:after="240"/>
        <w:rPr>
          <w:rFonts w:ascii="Times New Roman" w:hAnsi="Times New Roman"/>
          <w:sz w:val="20"/>
          <w:szCs w:val="20"/>
        </w:rPr>
      </w:pPr>
      <w:r w:rsidRPr="00896F00">
        <w:rPr>
          <w:rFonts w:ascii="Times New Roman" w:hAnsi="Times New Roman"/>
          <w:sz w:val="20"/>
          <w:szCs w:val="20"/>
        </w:rPr>
        <w:tab/>
        <w:t xml:space="preserve">775-353-3792, </w:t>
      </w:r>
      <w:hyperlink r:id="rId29" w:history="1">
        <w:r w:rsidRPr="00896F00">
          <w:rPr>
            <w:rStyle w:val="Hyperlink"/>
            <w:rFonts w:ascii="Times New Roman" w:hAnsi="Times New Roman"/>
            <w:noProof w:val="0"/>
            <w:color w:val="0000FF"/>
            <w:sz w:val="20"/>
            <w:szCs w:val="20"/>
          </w:rPr>
          <w:t>wstriejewske@agri.state.nv.us</w:t>
        </w:r>
      </w:hyperlink>
      <w:r w:rsidR="00896F00">
        <w:rPr>
          <w:rFonts w:ascii="Times New Roman" w:hAnsi="Times New Roman"/>
          <w:sz w:val="20"/>
          <w:szCs w:val="20"/>
          <w:u w:val="single"/>
        </w:rPr>
        <w:t xml:space="preserve"> </w:t>
      </w:r>
      <w:r w:rsidRPr="00896F00">
        <w:rPr>
          <w:rFonts w:ascii="Times New Roman" w:hAnsi="Times New Roman"/>
          <w:sz w:val="20"/>
          <w:szCs w:val="20"/>
          <w:u w:val="single"/>
        </w:rPr>
        <w:t xml:space="preserve"> </w:t>
      </w:r>
    </w:p>
    <w:p w14:paraId="5B7A3824" w14:textId="278FD9E5" w:rsidR="005D640A" w:rsidRPr="00281428" w:rsidRDefault="005D640A" w:rsidP="00D9564F">
      <w:pPr>
        <w:rPr>
          <w:szCs w:val="20"/>
        </w:rPr>
      </w:pPr>
      <w:r w:rsidRPr="00281428">
        <w:rPr>
          <w:szCs w:val="20"/>
        </w:rPr>
        <w:t xml:space="preserve">Aligning Handbook 130 with the important parts of the U.S. EPA rule that grants a 1-psi vapor pressure waiver during the summer months for E15 is important to ensure that E15 has the correct vapor pressure during these months and provides comprehensive information to aid in ensuring compliant E15 gasoline is provided to consumers.   </w:t>
      </w:r>
    </w:p>
    <w:p w14:paraId="7AC8B124" w14:textId="77777777" w:rsidR="005D640A" w:rsidRPr="00281428" w:rsidRDefault="005D640A" w:rsidP="00D9564F">
      <w:pPr>
        <w:rPr>
          <w:szCs w:val="20"/>
        </w:rPr>
      </w:pPr>
      <w:r w:rsidRPr="00281428">
        <w:rPr>
          <w:b/>
          <w:szCs w:val="20"/>
        </w:rPr>
        <w:t xml:space="preserve">Amend MOS Section 2.20.2.(a)(1) and (2) (there is a “mirrored change” intended for FLR Section 3.2.5.) </w:t>
      </w:r>
      <w:r w:rsidRPr="00281428">
        <w:rPr>
          <w:szCs w:val="20"/>
        </w:rPr>
        <w:t xml:space="preserve">to address the regulatory changes finalized by the U.S. EPA that revise product transfer document (PTD) requirements for disclosure of the percent concentration of ethanol in gasoline-ethanol blends, as revised in 40 CFR 80.1503. </w:t>
      </w:r>
    </w:p>
    <w:p w14:paraId="004099C8" w14:textId="5C775965" w:rsidR="005D640A" w:rsidRPr="00281428" w:rsidRDefault="005D640A" w:rsidP="005D640A">
      <w:pPr>
        <w:rPr>
          <w:b/>
          <w:szCs w:val="20"/>
        </w:rPr>
      </w:pPr>
      <w:r w:rsidRPr="00281428">
        <w:rPr>
          <w:b/>
          <w:szCs w:val="20"/>
        </w:rPr>
        <w:t xml:space="preserve">Amend MOS Section 2.20.2(a)(3) (there is a “mirrored change” intended for FLR Section 3.2.5.). </w:t>
      </w:r>
      <w:r w:rsidRPr="00281428">
        <w:rPr>
          <w:bCs/>
          <w:szCs w:val="20"/>
        </w:rPr>
        <w:t>This</w:t>
      </w:r>
      <w:r w:rsidRPr="00281428">
        <w:rPr>
          <w:b/>
          <w:szCs w:val="20"/>
        </w:rPr>
        <w:t xml:space="preserve"> </w:t>
      </w:r>
      <w:r w:rsidRPr="00281428">
        <w:rPr>
          <w:szCs w:val="20"/>
        </w:rPr>
        <w:t xml:space="preserve">revision is necessary to reflect the regulatory requirements within 40 CFR 80.28(g)(8) which are newly applicable to E15 since it has been granted the 1.0 psi waiver. The proposed amendment is needed to address the fact that ethanol flex fuel (EFF), which may be used to produce gasoline-oxygenate blends, can have a significant difference in ethanol content depending on season and geography. EFF can range from 51 to 83 volume percent ethanol. A retail gasoline location receiving EFF that will be used for the purpose of producing gasoline-oxygenate blends needs the correct ethanol content information of the EFF. </w:t>
      </w:r>
      <w:r w:rsidR="005F3D69">
        <w:rPr>
          <w:szCs w:val="20"/>
        </w:rPr>
        <w:t xml:space="preserve"> </w:t>
      </w:r>
      <w:r w:rsidRPr="00281428">
        <w:rPr>
          <w:szCs w:val="20"/>
        </w:rPr>
        <w:t xml:space="preserve">This information is needed </w:t>
      </w:r>
      <w:proofErr w:type="gramStart"/>
      <w:r w:rsidRPr="00281428">
        <w:rPr>
          <w:szCs w:val="20"/>
        </w:rPr>
        <w:t>in order to</w:t>
      </w:r>
      <w:proofErr w:type="gramEnd"/>
      <w:r w:rsidRPr="00281428">
        <w:rPr>
          <w:szCs w:val="20"/>
        </w:rPr>
        <w:t xml:space="preserve"> adjust the blend ratio to ensure that the fuel is properly blended to meet the requirements that E15 contain at least 10 and not more than 15 volume percent ethanol per </w:t>
      </w:r>
      <w:r w:rsidRPr="00281428">
        <w:rPr>
          <w:rFonts w:ascii="TimesNewRomanPSMT" w:hAnsi="TimesNewRomanPSMT" w:cs="TimesNewRomanPSMT"/>
          <w:szCs w:val="20"/>
        </w:rPr>
        <w:t xml:space="preserve">40 CFR 80.1504(e)(3) </w:t>
      </w:r>
      <w:r w:rsidRPr="00281428">
        <w:rPr>
          <w:szCs w:val="20"/>
        </w:rPr>
        <w:t xml:space="preserve">and to demonstrate the certification requirements within </w:t>
      </w:r>
      <w:r w:rsidRPr="00281428">
        <w:rPr>
          <w:rFonts w:ascii="TimesNewRomanPSMT" w:hAnsi="TimesNewRomanPSMT" w:cs="TimesNewRomanPSMT"/>
          <w:szCs w:val="20"/>
        </w:rPr>
        <w:t>40 CFR 80.28(g)(8)</w:t>
      </w:r>
      <w:r w:rsidRPr="00281428">
        <w:rPr>
          <w:szCs w:val="20"/>
        </w:rPr>
        <w:t>. Accurate blending of E15 from EFF ensures appropriate dispenser labeling which facilitates customer value comparison and provides consumer misfuelling protection. The following bullets from the November 2017 presentation by the Wisconsin Department of Agriculture Trade and Consumer Protection provide additional explanation for why this information is needed.</w:t>
      </w:r>
    </w:p>
    <w:p w14:paraId="4958501E" w14:textId="77777777" w:rsidR="005D640A" w:rsidRPr="003D7F00" w:rsidRDefault="005D640A" w:rsidP="003D7F00">
      <w:pPr>
        <w:pStyle w:val="NoSpacing"/>
        <w:spacing w:after="240"/>
        <w:rPr>
          <w:rFonts w:ascii="Times New Roman" w:hAnsi="Times New Roman"/>
          <w:sz w:val="20"/>
          <w:szCs w:val="20"/>
        </w:rPr>
      </w:pPr>
      <w:r w:rsidRPr="003D7F00">
        <w:rPr>
          <w:rFonts w:ascii="Times New Roman" w:hAnsi="Times New Roman"/>
          <w:sz w:val="20"/>
          <w:szCs w:val="20"/>
        </w:rPr>
        <w:t xml:space="preserve">Selling E15 (slide 24 and 25, </w:t>
      </w:r>
      <w:hyperlink r:id="rId30" w:history="1">
        <w:r w:rsidRPr="000E588B">
          <w:rPr>
            <w:rStyle w:val="Hyperlink"/>
            <w:rFonts w:ascii="Times New Roman" w:hAnsi="Times New Roman"/>
            <w:bCs/>
            <w:noProof w:val="0"/>
            <w:color w:val="0000FF"/>
            <w:sz w:val="20"/>
            <w:szCs w:val="20"/>
          </w:rPr>
          <w:t>www.wpmca.org/assets/ethanol/E15_What_Retailers_Need_to_Know.pdf</w:t>
        </w:r>
        <w:r w:rsidRPr="003D7F00">
          <w:rPr>
            <w:rFonts w:ascii="Times New Roman" w:hAnsi="Times New Roman"/>
            <w:sz w:val="20"/>
            <w:szCs w:val="20"/>
          </w:rPr>
          <w:t>)</w:t>
        </w:r>
      </w:hyperlink>
    </w:p>
    <w:p w14:paraId="5C066D29" w14:textId="77777777" w:rsidR="005D640A" w:rsidRPr="00281428" w:rsidRDefault="005D640A" w:rsidP="005D640A">
      <w:pPr>
        <w:numPr>
          <w:ilvl w:val="0"/>
          <w:numId w:val="44"/>
        </w:numPr>
        <w:spacing w:after="120"/>
        <w:ind w:left="720"/>
        <w:rPr>
          <w:bCs/>
          <w:szCs w:val="20"/>
        </w:rPr>
      </w:pPr>
      <w:r w:rsidRPr="00281428">
        <w:rPr>
          <w:bCs/>
          <w:szCs w:val="20"/>
        </w:rPr>
        <w:t xml:space="preserve">Blending at the pump can be done using E85 or </w:t>
      </w:r>
      <w:proofErr w:type="gramStart"/>
      <w:r w:rsidRPr="00281428">
        <w:rPr>
          <w:bCs/>
          <w:szCs w:val="20"/>
        </w:rPr>
        <w:t>other</w:t>
      </w:r>
      <w:proofErr w:type="gramEnd"/>
      <w:r w:rsidRPr="00281428">
        <w:rPr>
          <w:bCs/>
          <w:szCs w:val="20"/>
        </w:rPr>
        <w:t xml:space="preserve"> high blend ethanol product</w:t>
      </w:r>
    </w:p>
    <w:p w14:paraId="7D969316" w14:textId="77777777" w:rsidR="005D640A" w:rsidRPr="00281428" w:rsidRDefault="005D640A" w:rsidP="005D640A">
      <w:pPr>
        <w:numPr>
          <w:ilvl w:val="0"/>
          <w:numId w:val="44"/>
        </w:numPr>
        <w:spacing w:after="120"/>
        <w:ind w:left="720"/>
        <w:rPr>
          <w:bCs/>
          <w:szCs w:val="20"/>
        </w:rPr>
      </w:pPr>
      <w:r w:rsidRPr="00281428">
        <w:rPr>
          <w:bCs/>
          <w:szCs w:val="20"/>
        </w:rPr>
        <w:t>E85, or flex fuel, is a term that refers to high-level ethanol-gasoline blends containing 51%-83% ethanol, depending on geography and season</w:t>
      </w:r>
    </w:p>
    <w:p w14:paraId="1495A0FD" w14:textId="77777777" w:rsidR="005D640A" w:rsidRPr="00281428" w:rsidRDefault="005D640A" w:rsidP="005D640A">
      <w:pPr>
        <w:numPr>
          <w:ilvl w:val="0"/>
          <w:numId w:val="44"/>
        </w:numPr>
        <w:spacing w:after="120"/>
        <w:ind w:left="720"/>
        <w:rPr>
          <w:bCs/>
          <w:szCs w:val="20"/>
        </w:rPr>
      </w:pPr>
      <w:r w:rsidRPr="00281428">
        <w:rPr>
          <w:bCs/>
          <w:szCs w:val="20"/>
        </w:rPr>
        <w:t xml:space="preserve">Because of the range in possible ethanol content of E85, retailers must ensure the blend ratio on all dispensers are set to properly </w:t>
      </w:r>
      <w:proofErr w:type="gramStart"/>
      <w:r w:rsidRPr="00281428">
        <w:rPr>
          <w:bCs/>
          <w:szCs w:val="20"/>
        </w:rPr>
        <w:t>blend for E15 at all times</w:t>
      </w:r>
      <w:proofErr w:type="gramEnd"/>
    </w:p>
    <w:p w14:paraId="4B4DD643" w14:textId="77777777" w:rsidR="005D640A" w:rsidRPr="00281428" w:rsidRDefault="005D640A" w:rsidP="005D640A">
      <w:pPr>
        <w:numPr>
          <w:ilvl w:val="0"/>
          <w:numId w:val="43"/>
        </w:numPr>
        <w:spacing w:after="120"/>
        <w:rPr>
          <w:b/>
          <w:szCs w:val="20"/>
        </w:rPr>
      </w:pPr>
      <w:r w:rsidRPr="00281428">
        <w:rPr>
          <w:szCs w:val="20"/>
        </w:rPr>
        <w:t xml:space="preserve">There are two ways to ensure proper blend ratio: </w:t>
      </w:r>
    </w:p>
    <w:p w14:paraId="0421A5B4" w14:textId="77777777" w:rsidR="005D640A" w:rsidRPr="00281428" w:rsidRDefault="005D640A" w:rsidP="005D640A">
      <w:pPr>
        <w:numPr>
          <w:ilvl w:val="1"/>
          <w:numId w:val="43"/>
        </w:numPr>
        <w:tabs>
          <w:tab w:val="left" w:pos="1080"/>
        </w:tabs>
        <w:spacing w:after="120"/>
        <w:ind w:hanging="720"/>
        <w:rPr>
          <w:b/>
          <w:szCs w:val="20"/>
        </w:rPr>
      </w:pPr>
      <w:r w:rsidRPr="00281428">
        <w:rPr>
          <w:szCs w:val="20"/>
        </w:rPr>
        <w:t>Program the dispensers for the maximum ethanol content of the E85/Flex Fuel</w:t>
      </w:r>
    </w:p>
    <w:p w14:paraId="19DEAA4F" w14:textId="77777777" w:rsidR="005D640A" w:rsidRPr="00281428" w:rsidRDefault="005D640A" w:rsidP="005D640A">
      <w:pPr>
        <w:numPr>
          <w:ilvl w:val="1"/>
          <w:numId w:val="43"/>
        </w:numPr>
        <w:spacing w:after="120"/>
        <w:ind w:left="1080"/>
        <w:rPr>
          <w:b/>
          <w:szCs w:val="20"/>
        </w:rPr>
      </w:pPr>
      <w:r w:rsidRPr="00281428">
        <w:rPr>
          <w:szCs w:val="20"/>
        </w:rPr>
        <w:lastRenderedPageBreak/>
        <w:t>Have a service company adjust the blend ratios every time the ethanol content in the E85/Flex Fuel changes</w:t>
      </w:r>
    </w:p>
    <w:p w14:paraId="0E3849DB" w14:textId="77777777" w:rsidR="005D640A" w:rsidRPr="00281428" w:rsidRDefault="005D640A" w:rsidP="005D640A">
      <w:pPr>
        <w:numPr>
          <w:ilvl w:val="2"/>
          <w:numId w:val="43"/>
        </w:numPr>
        <w:tabs>
          <w:tab w:val="left" w:pos="1080"/>
        </w:tabs>
        <w:spacing w:after="120"/>
        <w:ind w:left="1440"/>
        <w:rPr>
          <w:b/>
          <w:szCs w:val="20"/>
        </w:rPr>
      </w:pPr>
      <w:r w:rsidRPr="00281428">
        <w:rPr>
          <w:szCs w:val="20"/>
        </w:rPr>
        <w:t xml:space="preserve">This requires regular monitoring of the ethanol content of the E85/Flex Fuel you are receiving and prompt action when the ethanol content changes </w:t>
      </w:r>
    </w:p>
    <w:p w14:paraId="20761008" w14:textId="77777777" w:rsidR="005D640A" w:rsidRPr="00281428" w:rsidRDefault="005D640A" w:rsidP="005D640A">
      <w:pPr>
        <w:numPr>
          <w:ilvl w:val="1"/>
          <w:numId w:val="43"/>
        </w:numPr>
        <w:tabs>
          <w:tab w:val="left" w:pos="1080"/>
        </w:tabs>
        <w:spacing w:after="120"/>
        <w:ind w:left="1080"/>
        <w:rPr>
          <w:b/>
          <w:szCs w:val="20"/>
        </w:rPr>
      </w:pPr>
      <w:r w:rsidRPr="00281428">
        <w:rPr>
          <w:szCs w:val="20"/>
        </w:rPr>
        <w:t xml:space="preserve">If a consumer experiences vehicle damage </w:t>
      </w:r>
      <w:proofErr w:type="gramStart"/>
      <w:r w:rsidRPr="00281428">
        <w:rPr>
          <w:szCs w:val="20"/>
        </w:rPr>
        <w:t>as a result of</w:t>
      </w:r>
      <w:proofErr w:type="gramEnd"/>
      <w:r w:rsidRPr="00281428">
        <w:rPr>
          <w:szCs w:val="20"/>
        </w:rPr>
        <w:t xml:space="preserve"> fuel being dispensed at a higher ethanol content than what is posted on the dispenser, the retailer is responsible.</w:t>
      </w:r>
    </w:p>
    <w:p w14:paraId="6C51C298" w14:textId="77777777" w:rsidR="005D640A" w:rsidRPr="00281428" w:rsidRDefault="005D640A" w:rsidP="005D640A">
      <w:pPr>
        <w:spacing w:before="40"/>
        <w:rPr>
          <w:szCs w:val="20"/>
        </w:rPr>
      </w:pPr>
      <w:r w:rsidRPr="00281428">
        <w:rPr>
          <w:szCs w:val="20"/>
        </w:rPr>
        <w:t xml:space="preserve">Some may argue that the proposed changes are not “new” requirements. However, as demonstrated above these changes are necessary to address the U.S. EPA’s new approach to granting the 1-psi RVP waiver for E15 in the summertime. </w:t>
      </w:r>
    </w:p>
    <w:p w14:paraId="17A32A32" w14:textId="77777777" w:rsidR="005D640A" w:rsidRPr="00281428" w:rsidRDefault="005D640A" w:rsidP="005D640A">
      <w:pPr>
        <w:rPr>
          <w:szCs w:val="20"/>
        </w:rPr>
      </w:pPr>
      <w:r w:rsidRPr="00281428">
        <w:rPr>
          <w:b/>
          <w:szCs w:val="20"/>
        </w:rPr>
        <w:t xml:space="preserve">Amend FLR Section 1.23. </w:t>
      </w:r>
      <w:r w:rsidRPr="00281428">
        <w:rPr>
          <w:bCs/>
          <w:szCs w:val="20"/>
        </w:rPr>
        <w:t xml:space="preserve">to reflect the modification </w:t>
      </w:r>
      <w:r w:rsidRPr="00281428">
        <w:rPr>
          <w:szCs w:val="20"/>
        </w:rPr>
        <w:t xml:space="preserve">are needed to address the fact that ethanol flex fuel intended for blending with gasoline and gasoline ethanol blends must contain certified components or each storage tank must be certified before it can be sold as a blendstock for E15.  For example, blending of ethanol flex fuel containing natural gas liquids is prohibited unless certified consistent with 40 CFR 80.28(g)(8) requirements. </w:t>
      </w:r>
    </w:p>
    <w:p w14:paraId="69968612" w14:textId="77777777" w:rsidR="005D640A" w:rsidRPr="00281428" w:rsidRDefault="005D640A" w:rsidP="005D640A">
      <w:pPr>
        <w:rPr>
          <w:szCs w:val="20"/>
        </w:rPr>
      </w:pPr>
      <w:r w:rsidRPr="00281428">
        <w:rPr>
          <w:b/>
          <w:bCs/>
          <w:szCs w:val="20"/>
        </w:rPr>
        <w:t xml:space="preserve">Amendments to FLR Section 2.1.2.(b) </w:t>
      </w:r>
      <w:r w:rsidRPr="00281428">
        <w:rPr>
          <w:szCs w:val="20"/>
        </w:rPr>
        <w:t xml:space="preserve">address the new U.S. EPA approach for E15. For parties in the fuel distribution system, U.S. EPA has reinterpreted the 1-psi allowance for RVP maximum limits in the gasoline distribution system for up to 15% ethanol blends.  Parties in the fuel distribution system utilize the “deemed to comply” provision in the U.S. EPA regulations to certify that the fuel sold complies with federal regulations. The Clean Air Act Section 211(h) extends that allowance </w:t>
      </w:r>
      <w:r w:rsidRPr="00281428">
        <w:rPr>
          <w:b/>
          <w:szCs w:val="20"/>
        </w:rPr>
        <w:t>only</w:t>
      </w:r>
      <w:r w:rsidRPr="00281428">
        <w:rPr>
          <w:szCs w:val="20"/>
        </w:rPr>
        <w:t xml:space="preserve"> if parties in the distribution system are deemed to comply, that is, they have evidence that: (1) the hydrocarbon portion meets the RVP limits, (2) the ethanol portion meets its waiver condition and (3) no additional alcohol or other additive has been added to increase the RVP of the ethanol portion of the blend. Specifically, the proposed changes to HB 130 reflect the U.S. EPA language that requires parties in the distribution system seeking to utilize the “deemed to comply” provision to qualify for the 1-psi waiver for ethanol blends from 9 to 15 volume percent, must demonstrate that the gasoline-ethanol blend or hydrocarbon portion of an ethanol flex fuel blend meets RVP requirements per 40 CFR 80.28. Without this language in HB 130, inspectors will not have the full information needed to regulate the fuel and they may not recognize that E15 produced at the pump by blending ethanol flex fuel made with natural gas liquids (NGL) with gasoline-ethanol blends may not qualify for the 1-psi waiver and will likely violate state and federal vapor pressure requirements. Specifically, the EPA final rule indicates that, “…, in order for these fuels to be introduced into commerce, they must be substantially similar to certification fuel or obtain a waiver from the substantially similar requirement.” Further, information that describes the challenges of using NGLs is provided in the list of attachments, Section 20. below).</w:t>
      </w:r>
    </w:p>
    <w:p w14:paraId="4EA24C6F" w14:textId="77777777" w:rsidR="005D640A" w:rsidRPr="00281428" w:rsidRDefault="005D640A" w:rsidP="005D640A">
      <w:pPr>
        <w:rPr>
          <w:szCs w:val="20"/>
        </w:rPr>
      </w:pPr>
      <w:r w:rsidRPr="00281428">
        <w:rPr>
          <w:szCs w:val="20"/>
        </w:rPr>
        <w:t>Some may argue that the proposed changes are not “new” requirements. However, as demonstrated above, the proposed changes to HB 130 are necessary to address the U.S. EPA’s new approach to granting the 1-psi RVP waiver for E15 in the summertime (e.g., 40CFR80.28(g)(8) and (g)(8)(ii) now cover E15 where it previously addressed E10). The EPA has also indicated that the change in rules will result in more manufacturing of E15 at the retail pump and that there will be increased availability and use of the fuel. Consequently, it is appropriate for NCWM to make changes that comprehensively reflect the requirements associated with the manufacturing of E15.</w:t>
      </w:r>
    </w:p>
    <w:p w14:paraId="435B2DBE" w14:textId="608C08F6" w:rsidR="005D640A" w:rsidRPr="000E588B" w:rsidRDefault="005D640A" w:rsidP="00655338">
      <w:pPr>
        <w:pStyle w:val="NoSpacing"/>
        <w:spacing w:after="240"/>
        <w:rPr>
          <w:rFonts w:ascii="Times New Roman" w:hAnsi="Times New Roman"/>
          <w:b/>
          <w:sz w:val="20"/>
          <w:szCs w:val="18"/>
        </w:rPr>
      </w:pPr>
      <w:r w:rsidRPr="00655338">
        <w:rPr>
          <w:rFonts w:ascii="Times New Roman" w:hAnsi="Times New Roman"/>
          <w:b/>
          <w:sz w:val="20"/>
          <w:szCs w:val="18"/>
        </w:rPr>
        <w:t>EPA Final rule, “</w:t>
      </w:r>
      <w:r w:rsidRPr="00655338">
        <w:rPr>
          <w:rFonts w:ascii="Times New Roman" w:hAnsi="Times New Roman"/>
          <w:sz w:val="20"/>
          <w:szCs w:val="18"/>
        </w:rPr>
        <w:t xml:space="preserve">Modifications to Fuel Regulations </w:t>
      </w:r>
      <w:proofErr w:type="gramStart"/>
      <w:r w:rsidRPr="00655338">
        <w:rPr>
          <w:rFonts w:ascii="Times New Roman" w:hAnsi="Times New Roman"/>
          <w:sz w:val="20"/>
          <w:szCs w:val="18"/>
        </w:rPr>
        <w:t>To</w:t>
      </w:r>
      <w:proofErr w:type="gramEnd"/>
      <w:r w:rsidRPr="00655338">
        <w:rPr>
          <w:rFonts w:ascii="Times New Roman" w:hAnsi="Times New Roman"/>
          <w:sz w:val="20"/>
          <w:szCs w:val="18"/>
        </w:rPr>
        <w:t xml:space="preserve"> Provide Flexibility for E15; Modifications to RFS RIN Market Regulations” June 10, 2019</w:t>
      </w:r>
      <w:r w:rsidRPr="00655338">
        <w:rPr>
          <w:rFonts w:ascii="Times New Roman" w:hAnsi="Times New Roman"/>
          <w:sz w:val="20"/>
          <w:szCs w:val="20"/>
        </w:rPr>
        <w:t xml:space="preserve">, </w:t>
      </w:r>
      <w:hyperlink r:id="rId31" w:history="1">
        <w:r w:rsidRPr="000E588B">
          <w:rPr>
            <w:rStyle w:val="Hyperlink"/>
            <w:rFonts w:ascii="Times New Roman" w:hAnsi="Times New Roman"/>
            <w:color w:val="0000FF"/>
            <w:sz w:val="20"/>
            <w:szCs w:val="20"/>
          </w:rPr>
          <w:t>www.govinfo.gov/content/pkg/FR-2019-06-10/pdf/2019-11653.pdf</w:t>
        </w:r>
      </w:hyperlink>
      <w:r w:rsidR="000E588B" w:rsidRPr="000E588B">
        <w:rPr>
          <w:rStyle w:val="Hyperlink"/>
          <w:rFonts w:ascii="Times New Roman" w:hAnsi="Times New Roman"/>
          <w:color w:val="auto"/>
          <w:sz w:val="20"/>
          <w:szCs w:val="20"/>
          <w:u w:val="none"/>
        </w:rPr>
        <w:t>.</w:t>
      </w:r>
    </w:p>
    <w:p w14:paraId="1BF6AFB0" w14:textId="7CFE725B" w:rsidR="005D640A" w:rsidRPr="00E33402" w:rsidRDefault="005D640A" w:rsidP="00E33402">
      <w:pPr>
        <w:pStyle w:val="NoSpacing"/>
        <w:spacing w:after="120"/>
        <w:rPr>
          <w:rFonts w:ascii="Times New Roman" w:hAnsi="Times New Roman"/>
          <w:bCs/>
          <w:sz w:val="20"/>
          <w:szCs w:val="20"/>
        </w:rPr>
      </w:pPr>
      <w:r w:rsidRPr="00E33402">
        <w:rPr>
          <w:rFonts w:ascii="Times New Roman" w:hAnsi="Times New Roman"/>
          <w:bCs/>
          <w:sz w:val="20"/>
          <w:szCs w:val="20"/>
        </w:rPr>
        <w:t>U.S. EPA “Modifications to Fuel Regulations to Provide Flexibility for E15; Modifications to RFS RIN Market Regulations: Response to Comments.” June 10, 2019. Added in total with an example provided below</w:t>
      </w:r>
      <w:r w:rsidR="00F65095">
        <w:rPr>
          <w:rFonts w:ascii="Times New Roman" w:hAnsi="Times New Roman"/>
          <w:bCs/>
          <w:sz w:val="20"/>
          <w:szCs w:val="20"/>
        </w:rPr>
        <w:t>:</w:t>
      </w:r>
      <w:r w:rsidRPr="00E33402">
        <w:rPr>
          <w:rFonts w:ascii="Times New Roman" w:hAnsi="Times New Roman"/>
          <w:bCs/>
          <w:sz w:val="20"/>
          <w:szCs w:val="20"/>
        </w:rPr>
        <w:t xml:space="preserve"> </w:t>
      </w:r>
      <w:hyperlink r:id="rId32" w:history="1">
        <w:r w:rsidRPr="00655338">
          <w:rPr>
            <w:rStyle w:val="Hyperlink"/>
            <w:rFonts w:ascii="Times New Roman" w:hAnsi="Times New Roman"/>
            <w:color w:val="0000FF"/>
            <w:sz w:val="20"/>
            <w:szCs w:val="20"/>
          </w:rPr>
          <w:t>www.regulations.gov/document?D=EPA-HQ-OAR-2018-0775-1174</w:t>
        </w:r>
      </w:hyperlink>
    </w:p>
    <w:p w14:paraId="61BEA85C" w14:textId="77777777" w:rsidR="005D640A" w:rsidRPr="00281428" w:rsidRDefault="005D640A" w:rsidP="005D640A">
      <w:pPr>
        <w:ind w:left="720"/>
        <w:rPr>
          <w:bCs/>
          <w:szCs w:val="20"/>
        </w:rPr>
      </w:pPr>
      <w:r w:rsidRPr="00281428">
        <w:rPr>
          <w:bCs/>
          <w:szCs w:val="20"/>
        </w:rPr>
        <w:t xml:space="preserve">p. 53 (Response to comments) E15 </w:t>
      </w:r>
      <w:proofErr w:type="gramStart"/>
      <w:r w:rsidRPr="00281428">
        <w:rPr>
          <w:bCs/>
          <w:szCs w:val="20"/>
        </w:rPr>
        <w:t>is allowed to</w:t>
      </w:r>
      <w:proofErr w:type="gramEnd"/>
      <w:r w:rsidRPr="00281428">
        <w:rPr>
          <w:bCs/>
          <w:szCs w:val="20"/>
        </w:rPr>
        <w:t xml:space="preserve"> be blended at blender pumps as long </w:t>
      </w:r>
      <w:r w:rsidRPr="00281428">
        <w:rPr>
          <w:b/>
          <w:szCs w:val="20"/>
        </w:rPr>
        <w:t>as only certified components</w:t>
      </w:r>
      <w:r w:rsidRPr="00281428">
        <w:rPr>
          <w:bCs/>
          <w:szCs w:val="20"/>
        </w:rPr>
        <w:t xml:space="preserve"> are used (sic) Cases where blender pumps introduce uncertified components into gasoline continue to be illegal and may result in fuel that exceeds gasoline quality standards. Parties that blend uncertified components into previously certified gasoline are considered fuel manufacturers under the regulations at 40 CFR part 79 and refiners under 40 CFR part 80. (emphasis added)</w:t>
      </w:r>
    </w:p>
    <w:p w14:paraId="6A4DBED1" w14:textId="77777777" w:rsidR="005D640A" w:rsidRPr="00281428" w:rsidRDefault="005D640A" w:rsidP="005D640A">
      <w:pPr>
        <w:rPr>
          <w:szCs w:val="20"/>
        </w:rPr>
      </w:pPr>
      <w:r w:rsidRPr="00281428">
        <w:rPr>
          <w:szCs w:val="20"/>
        </w:rPr>
        <w:t>The following quotes from the U.S. EPA proposal provide additional information:</w:t>
      </w:r>
    </w:p>
    <w:p w14:paraId="439E3942" w14:textId="77777777" w:rsidR="005D640A" w:rsidRPr="00281428" w:rsidRDefault="005D640A" w:rsidP="005D640A">
      <w:pPr>
        <w:numPr>
          <w:ilvl w:val="0"/>
          <w:numId w:val="45"/>
        </w:numPr>
        <w:ind w:left="540"/>
        <w:rPr>
          <w:i/>
          <w:iCs/>
          <w:szCs w:val="20"/>
        </w:rPr>
      </w:pPr>
      <w:r w:rsidRPr="00281428">
        <w:rPr>
          <w:b/>
          <w:bCs/>
          <w:szCs w:val="20"/>
        </w:rPr>
        <w:lastRenderedPageBreak/>
        <w:t>40 CFR 80.27(d)</w:t>
      </w:r>
      <w:r w:rsidRPr="00281428">
        <w:rPr>
          <w:szCs w:val="20"/>
        </w:rPr>
        <w:t xml:space="preserve"> </w:t>
      </w:r>
      <w:r w:rsidRPr="00281428">
        <w:rPr>
          <w:i/>
          <w:iCs/>
          <w:szCs w:val="20"/>
        </w:rPr>
        <w:t xml:space="preserve">Special provisions for alcohol blends. </w:t>
      </w:r>
    </w:p>
    <w:p w14:paraId="280770F2" w14:textId="77777777" w:rsidR="005D640A" w:rsidRPr="00281428" w:rsidRDefault="005D640A" w:rsidP="005D640A">
      <w:pPr>
        <w:ind w:left="720" w:hanging="360"/>
        <w:rPr>
          <w:szCs w:val="20"/>
        </w:rPr>
      </w:pPr>
      <w:r w:rsidRPr="00281428">
        <w:rPr>
          <w:szCs w:val="20"/>
        </w:rPr>
        <w:t>(1)</w:t>
      </w:r>
      <w:r w:rsidRPr="00281428">
        <w:rPr>
          <w:szCs w:val="20"/>
        </w:rPr>
        <w:tab/>
        <w:t>Any gasoline which meets the requirements of paragraph (d)(2) of this section shall not be in violation of this section if its Reid vapor pressure does not exceed the applicable standard in paragraph (a) of this section by more than one pound per square inch (1.0 psi).</w:t>
      </w:r>
    </w:p>
    <w:p w14:paraId="4084B0D5" w14:textId="77777777" w:rsidR="005D640A" w:rsidRPr="00281428" w:rsidRDefault="005D640A" w:rsidP="005D640A">
      <w:pPr>
        <w:ind w:left="720" w:hanging="360"/>
        <w:rPr>
          <w:szCs w:val="20"/>
        </w:rPr>
      </w:pPr>
      <w:r w:rsidRPr="00281428">
        <w:rPr>
          <w:szCs w:val="20"/>
        </w:rPr>
        <w:t>(2)</w:t>
      </w:r>
      <w:r w:rsidRPr="00281428">
        <w:rPr>
          <w:szCs w:val="20"/>
        </w:rPr>
        <w:tab/>
        <w:t xml:space="preserve">In order to qualify for the special regulatory treatment specified in paragraph (d)(1) of this section, gasoline must contain denatured, anhydrous ethanol. </w:t>
      </w:r>
      <w:r w:rsidRPr="00281428">
        <w:rPr>
          <w:b/>
          <w:bCs/>
          <w:szCs w:val="20"/>
        </w:rPr>
        <w:t>The concentration of the ethanol, excluding the required denaturing agent, must be at least 9% and no more than 15% (by volume) of the gasoline.</w:t>
      </w:r>
      <w:r w:rsidRPr="00281428">
        <w:rPr>
          <w:szCs w:val="20"/>
        </w:rPr>
        <w:t xml:space="preserve"> The ethanol content of the gasoline shall be determined </w:t>
      </w:r>
      <w:proofErr w:type="gramStart"/>
      <w:r w:rsidRPr="00281428">
        <w:rPr>
          <w:szCs w:val="20"/>
        </w:rPr>
        <w:t>by the use of</w:t>
      </w:r>
      <w:proofErr w:type="gramEnd"/>
      <w:r w:rsidRPr="00281428">
        <w:rPr>
          <w:szCs w:val="20"/>
        </w:rPr>
        <w:t xml:space="preserve"> one of the testing methodologies specified in § 80.47. The maximum ethanol content shall not exceed any applicable waiver conditions under section 211(f) of the Clean Air Act.</w:t>
      </w:r>
    </w:p>
    <w:p w14:paraId="3D80A8B5" w14:textId="77777777" w:rsidR="005D640A" w:rsidRPr="00281428" w:rsidRDefault="005D640A" w:rsidP="005D640A">
      <w:pPr>
        <w:ind w:left="720" w:hanging="360"/>
        <w:rPr>
          <w:b/>
          <w:bCs/>
          <w:szCs w:val="20"/>
        </w:rPr>
      </w:pPr>
      <w:r w:rsidRPr="00281428">
        <w:rPr>
          <w:b/>
          <w:bCs/>
          <w:szCs w:val="20"/>
        </w:rPr>
        <w:t>(3)</w:t>
      </w:r>
      <w:r w:rsidRPr="00281428">
        <w:rPr>
          <w:b/>
          <w:bCs/>
          <w:szCs w:val="20"/>
        </w:rPr>
        <w:tab/>
        <w:t xml:space="preserve">Each invoice, loading ticket, bill of lading, delivery ticket and other document which accompanies a shipment of gasoline containing ethanol shall contain a legible and conspicuous statement that the gasoline being shipped contains ethanol and the percentage concentration of ethanol. </w:t>
      </w:r>
    </w:p>
    <w:p w14:paraId="0BD4EC9E" w14:textId="77777777" w:rsidR="005D640A" w:rsidRPr="00281428" w:rsidRDefault="005D640A" w:rsidP="005D640A">
      <w:pPr>
        <w:jc w:val="right"/>
        <w:rPr>
          <w:b/>
          <w:bCs/>
          <w:szCs w:val="20"/>
        </w:rPr>
      </w:pPr>
      <w:r w:rsidRPr="00281428">
        <w:rPr>
          <w:szCs w:val="20"/>
        </w:rPr>
        <w:t>(emphasis added)</w:t>
      </w:r>
    </w:p>
    <w:p w14:paraId="02861A1B" w14:textId="77777777" w:rsidR="005D640A" w:rsidRPr="00281428" w:rsidRDefault="005D640A" w:rsidP="005D640A">
      <w:pPr>
        <w:numPr>
          <w:ilvl w:val="0"/>
          <w:numId w:val="45"/>
        </w:numPr>
        <w:ind w:left="540"/>
        <w:rPr>
          <w:szCs w:val="20"/>
        </w:rPr>
      </w:pPr>
      <w:r w:rsidRPr="00281428">
        <w:rPr>
          <w:b/>
          <w:bCs/>
          <w:szCs w:val="20"/>
        </w:rPr>
        <w:t>40 CFR 80.28(g</w:t>
      </w:r>
      <w:r w:rsidRPr="00281428">
        <w:rPr>
          <w:szCs w:val="20"/>
        </w:rPr>
        <w:t xml:space="preserve">) </w:t>
      </w:r>
      <w:r w:rsidRPr="00281428">
        <w:rPr>
          <w:i/>
          <w:iCs/>
          <w:szCs w:val="20"/>
        </w:rPr>
        <w:t>Defenses.</w:t>
      </w:r>
      <w:r w:rsidRPr="00281428">
        <w:rPr>
          <w:szCs w:val="20"/>
        </w:rPr>
        <w:t xml:space="preserve"> </w:t>
      </w:r>
    </w:p>
    <w:p w14:paraId="6DA433D4" w14:textId="77777777" w:rsidR="005D640A" w:rsidRPr="00281428" w:rsidRDefault="005D640A" w:rsidP="005D640A">
      <w:pPr>
        <w:ind w:left="720" w:hanging="360"/>
        <w:rPr>
          <w:szCs w:val="20"/>
        </w:rPr>
      </w:pPr>
      <w:r w:rsidRPr="00281428">
        <w:rPr>
          <w:szCs w:val="20"/>
        </w:rPr>
        <w:t>(8)</w:t>
      </w:r>
      <w:r w:rsidRPr="00281428">
        <w:rPr>
          <w:szCs w:val="20"/>
        </w:rPr>
        <w:tab/>
        <w:t>In addition to the defenses provided in paragraphs (g)(1) through (6) of this section, in any case in which an ethanol blender, distributor, reseller, carrier, retailer, or wholesale purchaser-consumer would be in violation under paragraph (b), (c), (d), (e), or (f) of this section, as a result of gasoline which contains between 9 and 15 percent ethanol (by volume) but exceeds the applicable standard by more than one pound per square inch (1.0 psi), the ethanol blender, distributor, reseller, carrier, retailer or wholesale purchaser-consumer</w:t>
      </w:r>
      <w:r w:rsidRPr="00281428">
        <w:rPr>
          <w:b/>
          <w:bCs/>
          <w:szCs w:val="20"/>
        </w:rPr>
        <w:t xml:space="preserve"> shall not be deemed in violation if such person can demonstrate, by showing receipt of a certification from the facility from which the gasoline was received or other evidence acceptable to the Administrator</w:t>
      </w:r>
      <w:r w:rsidRPr="00281428">
        <w:rPr>
          <w:b/>
          <w:bCs/>
          <w:szCs w:val="20"/>
          <w:u w:val="single"/>
        </w:rPr>
        <w:t>,</w:t>
      </w:r>
      <w:r w:rsidRPr="00281428">
        <w:rPr>
          <w:szCs w:val="20"/>
        </w:rPr>
        <w:t xml:space="preserve"> that:</w:t>
      </w:r>
    </w:p>
    <w:p w14:paraId="4F654ACC" w14:textId="77777777" w:rsidR="005D640A" w:rsidRPr="00281428" w:rsidRDefault="005D640A" w:rsidP="005D640A">
      <w:pPr>
        <w:tabs>
          <w:tab w:val="left" w:pos="1800"/>
        </w:tabs>
        <w:ind w:left="1080" w:hanging="360"/>
        <w:rPr>
          <w:b/>
          <w:bCs/>
          <w:szCs w:val="20"/>
        </w:rPr>
      </w:pPr>
      <w:r w:rsidRPr="00281428">
        <w:rPr>
          <w:b/>
          <w:bCs/>
          <w:szCs w:val="20"/>
        </w:rPr>
        <w:t>(i)</w:t>
      </w:r>
      <w:r w:rsidRPr="00281428">
        <w:rPr>
          <w:b/>
          <w:bCs/>
          <w:szCs w:val="20"/>
        </w:rPr>
        <w:tab/>
        <w:t>The gasoline portion of the blend complies with the Reid vapor pressure limitations of § 80.27(a); and</w:t>
      </w:r>
    </w:p>
    <w:p w14:paraId="7BF34B8C" w14:textId="77777777" w:rsidR="005D640A" w:rsidRPr="00281428" w:rsidRDefault="005D640A" w:rsidP="005D640A">
      <w:pPr>
        <w:tabs>
          <w:tab w:val="left" w:pos="1800"/>
        </w:tabs>
        <w:ind w:left="1080" w:hanging="360"/>
        <w:rPr>
          <w:b/>
          <w:bCs/>
          <w:szCs w:val="20"/>
        </w:rPr>
      </w:pPr>
      <w:r w:rsidRPr="00281428">
        <w:rPr>
          <w:b/>
          <w:bCs/>
          <w:szCs w:val="20"/>
        </w:rPr>
        <w:t>(ii)</w:t>
      </w:r>
      <w:r w:rsidRPr="00281428">
        <w:rPr>
          <w:b/>
          <w:bCs/>
          <w:szCs w:val="20"/>
        </w:rPr>
        <w:tab/>
        <w:t>The ethanol portion of the blend does not exceed 15 percent (by volume); and</w:t>
      </w:r>
    </w:p>
    <w:p w14:paraId="3FA63917" w14:textId="77777777" w:rsidR="005D640A" w:rsidRPr="00281428" w:rsidRDefault="005D640A" w:rsidP="005D640A">
      <w:pPr>
        <w:tabs>
          <w:tab w:val="left" w:pos="1800"/>
        </w:tabs>
        <w:ind w:left="1080" w:hanging="360"/>
        <w:rPr>
          <w:b/>
          <w:bCs/>
          <w:szCs w:val="20"/>
        </w:rPr>
      </w:pPr>
      <w:r w:rsidRPr="00281428">
        <w:rPr>
          <w:b/>
          <w:bCs/>
          <w:szCs w:val="20"/>
        </w:rPr>
        <w:t>(iii)</w:t>
      </w:r>
      <w:r w:rsidRPr="00281428">
        <w:rPr>
          <w:b/>
          <w:bCs/>
          <w:szCs w:val="20"/>
        </w:rPr>
        <w:tab/>
        <w:t>No additional alcohol or other additive has been added to increase the Reid vapor pressure of the ethanol portion of the blend.</w:t>
      </w:r>
    </w:p>
    <w:p w14:paraId="66E8EB50" w14:textId="77777777" w:rsidR="005D640A" w:rsidRPr="00281428" w:rsidRDefault="005D640A" w:rsidP="005D640A">
      <w:pPr>
        <w:ind w:left="720"/>
        <w:rPr>
          <w:szCs w:val="20"/>
        </w:rPr>
      </w:pPr>
      <w:r w:rsidRPr="00281428">
        <w:rPr>
          <w:szCs w:val="20"/>
        </w:rPr>
        <w:t xml:space="preserve">In the case of a violation alleged against an ethanol blender, distributor, reseller, or carrier, if the demonstration required by paragraphs (g)(8)(i), (ii), and (iii) of this section is made by a certification, it must be supported by evidence that the criteria in paragraphs (g)(8)(i), (ii), and (iii) of this section have been met, such as an oversight program conducted by or on behalf of the ethanol blender, distributor, reseller or carrier alleged to be in violation, which includes periodic sampling and testing of the gasoline or monitoring the volatility and ethanol content of the gasoline. Such certification shall be deemed sufficient evidence of compliance provided it is not contradicted by specific evidence, such as testing results, and provided that the party has no other reasonable basis to believe that the facts stated in the certification are inaccurate. </w:t>
      </w:r>
      <w:r w:rsidRPr="00281428">
        <w:rPr>
          <w:b/>
          <w:bCs/>
          <w:szCs w:val="20"/>
        </w:rPr>
        <w:t>In the case of a violation alleged against a retail outlet</w:t>
      </w:r>
      <w:r w:rsidRPr="00281428">
        <w:rPr>
          <w:szCs w:val="20"/>
        </w:rPr>
        <w:t xml:space="preserve"> or wholesale purchaser-consumer facility, </w:t>
      </w:r>
      <w:r w:rsidRPr="00281428">
        <w:rPr>
          <w:b/>
          <w:bCs/>
          <w:szCs w:val="20"/>
        </w:rPr>
        <w:t>such certification shall be deemed an adequate defense for the retailer</w:t>
      </w:r>
      <w:r w:rsidRPr="00281428">
        <w:rPr>
          <w:szCs w:val="20"/>
        </w:rPr>
        <w:t xml:space="preserve"> or wholesale purchaser-consumer, </w:t>
      </w:r>
      <w:r w:rsidRPr="00281428">
        <w:rPr>
          <w:b/>
          <w:bCs/>
          <w:szCs w:val="20"/>
        </w:rPr>
        <w:t>provided that the retailer</w:t>
      </w:r>
      <w:r w:rsidRPr="00281428">
        <w:rPr>
          <w:szCs w:val="20"/>
        </w:rPr>
        <w:t xml:space="preserve"> or wholesale purchaser-consumer </w:t>
      </w:r>
      <w:r w:rsidRPr="00281428">
        <w:rPr>
          <w:b/>
          <w:bCs/>
          <w:szCs w:val="20"/>
        </w:rPr>
        <w:t>is able to show certificates for all of the gasoline contained in the storage tank found in violation</w:t>
      </w:r>
      <w:r w:rsidRPr="00281428">
        <w:rPr>
          <w:szCs w:val="20"/>
        </w:rPr>
        <w:t xml:space="preserve">, and, provided that the retailer or wholesale purchaser-consumer has no reasonable basis to believe that the facts stated in the certifications are inaccurate. </w:t>
      </w:r>
    </w:p>
    <w:p w14:paraId="1098529A" w14:textId="77777777" w:rsidR="005D640A" w:rsidRPr="00281428" w:rsidRDefault="005D640A" w:rsidP="005D640A">
      <w:pPr>
        <w:ind w:left="1440"/>
        <w:jc w:val="right"/>
        <w:rPr>
          <w:szCs w:val="20"/>
        </w:rPr>
      </w:pPr>
      <w:r w:rsidRPr="00281428">
        <w:rPr>
          <w:szCs w:val="20"/>
        </w:rPr>
        <w:t>(emphasis added)</w:t>
      </w:r>
    </w:p>
    <w:p w14:paraId="3EA59F0F" w14:textId="77777777" w:rsidR="005D640A" w:rsidRPr="00281428" w:rsidRDefault="005D640A" w:rsidP="005D640A">
      <w:pPr>
        <w:numPr>
          <w:ilvl w:val="0"/>
          <w:numId w:val="46"/>
        </w:numPr>
        <w:ind w:left="540"/>
        <w:rPr>
          <w:i/>
          <w:iCs/>
          <w:szCs w:val="20"/>
        </w:rPr>
      </w:pPr>
      <w:r w:rsidRPr="00281428">
        <w:rPr>
          <w:b/>
          <w:bCs/>
          <w:szCs w:val="20"/>
        </w:rPr>
        <w:t>40 CFR 80.1503</w:t>
      </w:r>
      <w:r w:rsidRPr="00281428">
        <w:rPr>
          <w:szCs w:val="20"/>
        </w:rPr>
        <w:t xml:space="preserve"> </w:t>
      </w:r>
      <w:r w:rsidRPr="00281428">
        <w:rPr>
          <w:i/>
          <w:iCs/>
          <w:szCs w:val="20"/>
        </w:rPr>
        <w:t>What are the product transfer document requirements for gasoline-ethanol blends, gasolines, and conventional blendstocks for oxygenate blending subject to this subpart?</w:t>
      </w:r>
    </w:p>
    <w:p w14:paraId="72D3D65E" w14:textId="77777777" w:rsidR="005D640A" w:rsidRPr="00281428" w:rsidRDefault="005D640A" w:rsidP="005D640A">
      <w:pPr>
        <w:ind w:left="1080" w:hanging="360"/>
        <w:rPr>
          <w:szCs w:val="20"/>
        </w:rPr>
      </w:pPr>
      <w:r w:rsidRPr="00281428">
        <w:rPr>
          <w:szCs w:val="20"/>
        </w:rPr>
        <w:lastRenderedPageBreak/>
        <w:t>(a)</w:t>
      </w:r>
      <w:r w:rsidRPr="00281428">
        <w:rPr>
          <w:szCs w:val="20"/>
        </w:rPr>
        <w:tab/>
        <w:t>Product transfer documentation for conventional blendstock for oxygenate blending, or gasoline transferred upstream of an ethanol blending facility.</w:t>
      </w:r>
    </w:p>
    <w:p w14:paraId="43D3BEC6" w14:textId="77777777" w:rsidR="005D640A" w:rsidRPr="00281428" w:rsidRDefault="005D640A" w:rsidP="005D640A">
      <w:pPr>
        <w:spacing w:before="40"/>
        <w:ind w:left="1440" w:hanging="360"/>
        <w:rPr>
          <w:szCs w:val="20"/>
        </w:rPr>
      </w:pPr>
      <w:r w:rsidRPr="00281428">
        <w:rPr>
          <w:szCs w:val="20"/>
        </w:rPr>
        <w:t>(1)</w:t>
      </w:r>
      <w:r w:rsidRPr="00281428">
        <w:rPr>
          <w:szCs w:val="20"/>
        </w:rPr>
        <w:tab/>
        <w:t>In addition to any other product transfer document requirements under 40 CFR part 80, on each occasion after October 31, 2011, when any person transfers custody or title to any conventional blendstock for oxygenate blending which could become conventional gasoline solely upon the addition of ethanol, or gasoline upstream of an oxygenate blending facility, as defined in § 80.2(ll), the transferor shall provide to the transferee product transfer documents which include the following information:</w:t>
      </w:r>
    </w:p>
    <w:p w14:paraId="2D4A77B0" w14:textId="77777777" w:rsidR="005D640A" w:rsidRPr="00281428" w:rsidRDefault="005D640A" w:rsidP="005D640A">
      <w:pPr>
        <w:spacing w:before="40"/>
        <w:ind w:left="1800" w:hanging="360"/>
        <w:rPr>
          <w:szCs w:val="20"/>
        </w:rPr>
      </w:pPr>
      <w:r w:rsidRPr="00281428">
        <w:rPr>
          <w:szCs w:val="20"/>
        </w:rPr>
        <w:t>(i)</w:t>
      </w:r>
      <w:r w:rsidRPr="00281428">
        <w:rPr>
          <w:szCs w:val="20"/>
        </w:rPr>
        <w:tab/>
        <w:t xml:space="preserve">The name and address of the </w:t>
      </w:r>
      <w:proofErr w:type="gramStart"/>
      <w:r w:rsidRPr="00281428">
        <w:rPr>
          <w:szCs w:val="20"/>
        </w:rPr>
        <w:t>transferor;</w:t>
      </w:r>
      <w:proofErr w:type="gramEnd"/>
    </w:p>
    <w:p w14:paraId="1CDE78E6" w14:textId="77777777" w:rsidR="005D640A" w:rsidRPr="00281428" w:rsidRDefault="005D640A" w:rsidP="005D640A">
      <w:pPr>
        <w:spacing w:before="40"/>
        <w:ind w:left="1800" w:hanging="360"/>
        <w:rPr>
          <w:szCs w:val="20"/>
        </w:rPr>
      </w:pPr>
      <w:r w:rsidRPr="00281428">
        <w:rPr>
          <w:szCs w:val="20"/>
        </w:rPr>
        <w:t>(ii)</w:t>
      </w:r>
      <w:r w:rsidRPr="00281428">
        <w:rPr>
          <w:szCs w:val="20"/>
        </w:rPr>
        <w:tab/>
        <w:t xml:space="preserve">The name and address of the </w:t>
      </w:r>
      <w:proofErr w:type="gramStart"/>
      <w:r w:rsidRPr="00281428">
        <w:rPr>
          <w:szCs w:val="20"/>
        </w:rPr>
        <w:t>transferee;</w:t>
      </w:r>
      <w:proofErr w:type="gramEnd"/>
    </w:p>
    <w:p w14:paraId="1DD0E0DB" w14:textId="77777777" w:rsidR="005D640A" w:rsidRPr="00281428" w:rsidRDefault="005D640A" w:rsidP="005D640A">
      <w:pPr>
        <w:spacing w:before="40"/>
        <w:ind w:left="1800" w:hanging="360"/>
        <w:rPr>
          <w:szCs w:val="20"/>
        </w:rPr>
      </w:pPr>
      <w:r w:rsidRPr="00281428">
        <w:rPr>
          <w:szCs w:val="20"/>
        </w:rPr>
        <w:t>(iii)</w:t>
      </w:r>
      <w:r w:rsidRPr="00281428">
        <w:rPr>
          <w:szCs w:val="20"/>
        </w:rPr>
        <w:tab/>
        <w:t xml:space="preserve">The volume of conventional blendstock for oxygenate blending or gasoline being </w:t>
      </w:r>
      <w:proofErr w:type="gramStart"/>
      <w:r w:rsidRPr="00281428">
        <w:rPr>
          <w:szCs w:val="20"/>
        </w:rPr>
        <w:t>transferred;</w:t>
      </w:r>
      <w:proofErr w:type="gramEnd"/>
    </w:p>
    <w:p w14:paraId="714EE81B" w14:textId="77777777" w:rsidR="005D640A" w:rsidRPr="00281428" w:rsidRDefault="005D640A" w:rsidP="005D640A">
      <w:pPr>
        <w:ind w:left="1800" w:hanging="360"/>
        <w:rPr>
          <w:szCs w:val="20"/>
        </w:rPr>
      </w:pPr>
      <w:r w:rsidRPr="00281428">
        <w:rPr>
          <w:szCs w:val="20"/>
        </w:rPr>
        <w:t>(iv)</w:t>
      </w:r>
      <w:r w:rsidRPr="00281428">
        <w:rPr>
          <w:szCs w:val="20"/>
        </w:rPr>
        <w:tab/>
        <w:t xml:space="preserve">The location of the conventional blendstock for oxygenate blending or gasoline at the time of the </w:t>
      </w:r>
      <w:proofErr w:type="gramStart"/>
      <w:r w:rsidRPr="00281428">
        <w:rPr>
          <w:szCs w:val="20"/>
        </w:rPr>
        <w:t>transfer;</w:t>
      </w:r>
      <w:proofErr w:type="gramEnd"/>
    </w:p>
    <w:p w14:paraId="7B2B36A3" w14:textId="77777777" w:rsidR="005D640A" w:rsidRPr="00281428" w:rsidRDefault="005D640A" w:rsidP="005D640A">
      <w:pPr>
        <w:ind w:left="1800" w:hanging="360"/>
        <w:rPr>
          <w:szCs w:val="20"/>
        </w:rPr>
      </w:pPr>
      <w:r w:rsidRPr="00281428">
        <w:rPr>
          <w:szCs w:val="20"/>
        </w:rPr>
        <w:t>(v)</w:t>
      </w:r>
      <w:r w:rsidRPr="00281428">
        <w:rPr>
          <w:szCs w:val="20"/>
        </w:rPr>
        <w:tab/>
        <w:t xml:space="preserve">The date of the </w:t>
      </w:r>
      <w:proofErr w:type="gramStart"/>
      <w:r w:rsidRPr="00281428">
        <w:rPr>
          <w:szCs w:val="20"/>
        </w:rPr>
        <w:t>transfer;</w:t>
      </w:r>
      <w:proofErr w:type="gramEnd"/>
    </w:p>
    <w:p w14:paraId="43DBFB88" w14:textId="77777777" w:rsidR="005D640A" w:rsidRPr="00281428" w:rsidRDefault="005D640A" w:rsidP="005D640A">
      <w:pPr>
        <w:ind w:left="1800" w:hanging="360"/>
        <w:rPr>
          <w:szCs w:val="20"/>
        </w:rPr>
      </w:pPr>
      <w:r w:rsidRPr="00281428">
        <w:rPr>
          <w:szCs w:val="20"/>
        </w:rPr>
        <w:t>(vi)</w:t>
      </w:r>
      <w:r w:rsidRPr="00281428">
        <w:rPr>
          <w:szCs w:val="20"/>
        </w:rPr>
        <w:tab/>
        <w:t>For gasoline during the regulatory control periods defined in § 80.27(a)(2)(ii) or any SIP approved or promulgated under §§ 110 or 172 of the Clean Air Act:</w:t>
      </w:r>
    </w:p>
    <w:p w14:paraId="694D7508" w14:textId="77777777" w:rsidR="005D640A" w:rsidRPr="00281428" w:rsidRDefault="005D640A" w:rsidP="005D640A">
      <w:pPr>
        <w:ind w:left="2520" w:hanging="360"/>
        <w:rPr>
          <w:szCs w:val="20"/>
        </w:rPr>
      </w:pPr>
      <w:r w:rsidRPr="00281428">
        <w:rPr>
          <w:szCs w:val="20"/>
        </w:rPr>
        <w:t>(A) The maximum RVP, as determined by a method permitted under § 80.46(c), stated in the following format: “The RVP of this gasoline does not exceed [fill in appropriate value]”; and</w:t>
      </w:r>
    </w:p>
    <w:p w14:paraId="5B8FB1EF" w14:textId="77777777" w:rsidR="005D640A" w:rsidRPr="00281428" w:rsidRDefault="005D640A" w:rsidP="005D640A">
      <w:pPr>
        <w:ind w:left="2520" w:hanging="360"/>
        <w:rPr>
          <w:szCs w:val="20"/>
        </w:rPr>
      </w:pPr>
      <w:r w:rsidRPr="00281428">
        <w:rPr>
          <w:szCs w:val="20"/>
        </w:rPr>
        <w:t>(B) The conspicuous statement that the gasoline being shipped contains ethanol and the percentage concentration of ethanol as described in § 80.27(d)(3).</w:t>
      </w:r>
    </w:p>
    <w:p w14:paraId="32AA0B98" w14:textId="77777777" w:rsidR="005D640A" w:rsidRPr="00281428" w:rsidRDefault="005D640A" w:rsidP="005D640A">
      <w:pPr>
        <w:ind w:left="1440" w:hanging="360"/>
        <w:rPr>
          <w:szCs w:val="20"/>
        </w:rPr>
      </w:pPr>
      <w:r w:rsidRPr="00281428">
        <w:rPr>
          <w:szCs w:val="20"/>
        </w:rPr>
        <w:t>(2)</w:t>
      </w:r>
      <w:r w:rsidRPr="00281428">
        <w:rPr>
          <w:szCs w:val="20"/>
        </w:rPr>
        <w:tab/>
        <w:t>The requirements in paragraph (a)(1) of this section do not apply to reformulated gasoline blendstock for oxygenate blending, as defined in § 80.2(kk), which is subject to the product transfer document requirements of §§ 80.69 and 80.77.</w:t>
      </w:r>
    </w:p>
    <w:p w14:paraId="408BA407" w14:textId="77777777" w:rsidR="005D640A" w:rsidRPr="00281428" w:rsidRDefault="005D640A" w:rsidP="005D640A">
      <w:pPr>
        <w:ind w:left="1440" w:hanging="360"/>
        <w:rPr>
          <w:szCs w:val="20"/>
        </w:rPr>
      </w:pPr>
      <w:r w:rsidRPr="00281428">
        <w:rPr>
          <w:szCs w:val="20"/>
        </w:rPr>
        <w:t>(3)</w:t>
      </w:r>
      <w:r w:rsidRPr="00281428">
        <w:rPr>
          <w:szCs w:val="20"/>
        </w:rPr>
        <w:tab/>
        <w:t>Except for transfers to truck carriers, retailers, or wholesale purchaser-consumers, product codes may be used to convey the information required under paragraph (a)(1) of this section if such codes are clearly understood by each transferee.</w:t>
      </w:r>
    </w:p>
    <w:p w14:paraId="48208A44" w14:textId="77777777" w:rsidR="005D640A" w:rsidRPr="00281428" w:rsidRDefault="005D640A" w:rsidP="005D640A">
      <w:pPr>
        <w:ind w:left="1080" w:hanging="360"/>
        <w:rPr>
          <w:szCs w:val="20"/>
        </w:rPr>
      </w:pPr>
      <w:r w:rsidRPr="00281428">
        <w:rPr>
          <w:szCs w:val="20"/>
        </w:rPr>
        <w:t>(b)</w:t>
      </w:r>
      <w:r w:rsidRPr="00281428">
        <w:rPr>
          <w:szCs w:val="20"/>
        </w:rPr>
        <w:tab/>
        <w:t>Product transfer documentation for gasoline transferred downstream of an oxygenate blending facility.</w:t>
      </w:r>
    </w:p>
    <w:p w14:paraId="236537DC" w14:textId="77777777" w:rsidR="005D640A" w:rsidRPr="00281428" w:rsidRDefault="005D640A" w:rsidP="005D640A">
      <w:pPr>
        <w:ind w:left="1440" w:hanging="360"/>
        <w:rPr>
          <w:szCs w:val="20"/>
        </w:rPr>
      </w:pPr>
      <w:r w:rsidRPr="00281428">
        <w:rPr>
          <w:szCs w:val="20"/>
        </w:rPr>
        <w:t>(1)</w:t>
      </w:r>
      <w:r w:rsidRPr="00281428">
        <w:rPr>
          <w:szCs w:val="20"/>
        </w:rPr>
        <w:tab/>
        <w:t>In addition to any other product transfer document requirements under 40 CFR part 80, on each occasion after October 31, 2011, when any person transfers custody or title to any gasoline-ethanol blend downstream of an oxygenate blending facility, as defined in § 80.2(ll), except for transfers to the ultimate consumer, the transferor shall provide to the transferee product transfer documents which include the following information:</w:t>
      </w:r>
    </w:p>
    <w:p w14:paraId="7D1CAEA3" w14:textId="77777777" w:rsidR="005D640A" w:rsidRPr="00281428" w:rsidRDefault="005D640A" w:rsidP="005D640A">
      <w:pPr>
        <w:ind w:left="1800" w:hanging="360"/>
        <w:rPr>
          <w:szCs w:val="20"/>
        </w:rPr>
      </w:pPr>
      <w:r w:rsidRPr="00281428">
        <w:rPr>
          <w:szCs w:val="20"/>
        </w:rPr>
        <w:t>(i)</w:t>
      </w:r>
      <w:r w:rsidRPr="00281428">
        <w:rPr>
          <w:szCs w:val="20"/>
        </w:rPr>
        <w:tab/>
        <w:t xml:space="preserve">The name and address of the </w:t>
      </w:r>
      <w:proofErr w:type="gramStart"/>
      <w:r w:rsidRPr="00281428">
        <w:rPr>
          <w:szCs w:val="20"/>
        </w:rPr>
        <w:t>transferor;</w:t>
      </w:r>
      <w:proofErr w:type="gramEnd"/>
    </w:p>
    <w:p w14:paraId="50649A80" w14:textId="77777777" w:rsidR="005D640A" w:rsidRPr="00281428" w:rsidRDefault="005D640A" w:rsidP="005D640A">
      <w:pPr>
        <w:ind w:left="1800" w:hanging="360"/>
        <w:rPr>
          <w:szCs w:val="20"/>
        </w:rPr>
      </w:pPr>
      <w:r w:rsidRPr="00281428">
        <w:rPr>
          <w:szCs w:val="20"/>
        </w:rPr>
        <w:t>(ii)</w:t>
      </w:r>
      <w:r w:rsidRPr="00281428">
        <w:rPr>
          <w:szCs w:val="20"/>
        </w:rPr>
        <w:tab/>
        <w:t xml:space="preserve">The name and address of the </w:t>
      </w:r>
      <w:proofErr w:type="gramStart"/>
      <w:r w:rsidRPr="00281428">
        <w:rPr>
          <w:szCs w:val="20"/>
        </w:rPr>
        <w:t>transferee;</w:t>
      </w:r>
      <w:proofErr w:type="gramEnd"/>
      <w:r w:rsidRPr="00281428">
        <w:rPr>
          <w:szCs w:val="20"/>
        </w:rPr>
        <w:tab/>
      </w:r>
    </w:p>
    <w:p w14:paraId="3E8800EF" w14:textId="77777777" w:rsidR="005D640A" w:rsidRPr="00281428" w:rsidRDefault="005D640A" w:rsidP="005D640A">
      <w:pPr>
        <w:ind w:left="1800" w:hanging="360"/>
        <w:rPr>
          <w:szCs w:val="20"/>
        </w:rPr>
      </w:pPr>
      <w:r w:rsidRPr="00281428">
        <w:rPr>
          <w:szCs w:val="20"/>
        </w:rPr>
        <w:t>(iii)</w:t>
      </w:r>
      <w:r w:rsidRPr="00281428">
        <w:rPr>
          <w:szCs w:val="20"/>
        </w:rPr>
        <w:tab/>
        <w:t xml:space="preserve">The volume of gasoline being </w:t>
      </w:r>
      <w:proofErr w:type="gramStart"/>
      <w:r w:rsidRPr="00281428">
        <w:rPr>
          <w:szCs w:val="20"/>
        </w:rPr>
        <w:t>transferred;</w:t>
      </w:r>
      <w:proofErr w:type="gramEnd"/>
    </w:p>
    <w:p w14:paraId="0298A1E7" w14:textId="77777777" w:rsidR="005D640A" w:rsidRPr="00281428" w:rsidRDefault="005D640A" w:rsidP="005D640A">
      <w:pPr>
        <w:ind w:left="1800" w:hanging="360"/>
        <w:rPr>
          <w:szCs w:val="20"/>
        </w:rPr>
      </w:pPr>
      <w:r w:rsidRPr="00281428">
        <w:rPr>
          <w:szCs w:val="20"/>
        </w:rPr>
        <w:t>(iv)</w:t>
      </w:r>
      <w:r w:rsidRPr="00281428">
        <w:rPr>
          <w:szCs w:val="20"/>
        </w:rPr>
        <w:tab/>
        <w:t xml:space="preserve">The location of the gasoline at the time of the </w:t>
      </w:r>
      <w:proofErr w:type="gramStart"/>
      <w:r w:rsidRPr="00281428">
        <w:rPr>
          <w:szCs w:val="20"/>
        </w:rPr>
        <w:t>transfer;</w:t>
      </w:r>
      <w:proofErr w:type="gramEnd"/>
    </w:p>
    <w:p w14:paraId="3487BC90" w14:textId="77777777" w:rsidR="005D640A" w:rsidRPr="00281428" w:rsidRDefault="005D640A" w:rsidP="005D640A">
      <w:pPr>
        <w:ind w:left="1800" w:hanging="360"/>
        <w:rPr>
          <w:szCs w:val="20"/>
        </w:rPr>
      </w:pPr>
      <w:r w:rsidRPr="00281428">
        <w:rPr>
          <w:szCs w:val="20"/>
        </w:rPr>
        <w:lastRenderedPageBreak/>
        <w:t>(v)</w:t>
      </w:r>
      <w:r w:rsidRPr="00281428">
        <w:rPr>
          <w:szCs w:val="20"/>
        </w:rPr>
        <w:tab/>
        <w:t>The date of the transfer; and</w:t>
      </w:r>
    </w:p>
    <w:p w14:paraId="5659A925" w14:textId="77777777" w:rsidR="005D640A" w:rsidRPr="00281428" w:rsidRDefault="005D640A" w:rsidP="005D640A">
      <w:pPr>
        <w:ind w:left="1800" w:hanging="360"/>
        <w:rPr>
          <w:szCs w:val="20"/>
        </w:rPr>
      </w:pPr>
      <w:r w:rsidRPr="00281428">
        <w:rPr>
          <w:szCs w:val="20"/>
        </w:rPr>
        <w:t>(vi)</w:t>
      </w:r>
      <w:r w:rsidRPr="00281428">
        <w:rPr>
          <w:szCs w:val="20"/>
        </w:rPr>
        <w:tab/>
        <w:t>One of the statements detailed in paragraph (b)(1)(vi)(A) though (E) which accurately describes the gasoline-ethanol blend. The information regarding the ethanol content of the fuel is required year-round. The information regarding the RVP of the fuel is only required for gasoline during the regulatory control periods.</w:t>
      </w:r>
    </w:p>
    <w:p w14:paraId="48BAD033" w14:textId="77777777" w:rsidR="005D640A" w:rsidRPr="00281428" w:rsidRDefault="005D640A" w:rsidP="005D640A">
      <w:pPr>
        <w:ind w:left="2160" w:hanging="360"/>
        <w:rPr>
          <w:szCs w:val="20"/>
        </w:rPr>
      </w:pPr>
      <w:r w:rsidRPr="00281428">
        <w:rPr>
          <w:szCs w:val="20"/>
        </w:rPr>
        <w:t>(A)</w:t>
      </w:r>
      <w:r w:rsidRPr="00281428">
        <w:rPr>
          <w:szCs w:val="20"/>
        </w:rPr>
        <w:tab/>
        <w:t xml:space="preserve">For gasoline containing no ethanol (E0), the following </w:t>
      </w:r>
      <w:proofErr w:type="gramStart"/>
      <w:r w:rsidRPr="00281428">
        <w:rPr>
          <w:szCs w:val="20"/>
        </w:rPr>
        <w:t>statement;</w:t>
      </w:r>
      <w:proofErr w:type="gramEnd"/>
      <w:r w:rsidRPr="00281428">
        <w:rPr>
          <w:szCs w:val="20"/>
        </w:rPr>
        <w:t xml:space="preserve"> “E0: Contains no ethanol. The RVP does not exceed [fill in appropriate value] psi.”</w:t>
      </w:r>
    </w:p>
    <w:p w14:paraId="41D2139D" w14:textId="77777777" w:rsidR="005D640A" w:rsidRPr="00281428" w:rsidRDefault="005D640A" w:rsidP="005D640A">
      <w:pPr>
        <w:ind w:left="1800"/>
        <w:rPr>
          <w:szCs w:val="20"/>
        </w:rPr>
      </w:pPr>
      <w:r w:rsidRPr="00281428">
        <w:rPr>
          <w:szCs w:val="20"/>
        </w:rPr>
        <w:t xml:space="preserve">(B)(1) </w:t>
      </w:r>
      <w:r w:rsidRPr="00281428">
        <w:rPr>
          <w:b/>
          <w:bCs/>
          <w:szCs w:val="20"/>
        </w:rPr>
        <w:t xml:space="preserve">For gasoline containing less than 9 volume percent ethanol, the following statement: </w:t>
      </w:r>
      <w:r w:rsidRPr="00281428">
        <w:rPr>
          <w:b/>
          <w:bCs/>
          <w:szCs w:val="20"/>
        </w:rPr>
        <w:tab/>
        <w:t>“EX - Contains up to X% ethanol.</w:t>
      </w:r>
      <w:r w:rsidRPr="00281428">
        <w:rPr>
          <w:szCs w:val="20"/>
        </w:rPr>
        <w:t xml:space="preserve"> The RVP does not exceed [fill in appropriate value] </w:t>
      </w:r>
      <w:r w:rsidRPr="00281428">
        <w:rPr>
          <w:szCs w:val="20"/>
        </w:rPr>
        <w:tab/>
        <w:t xml:space="preserve">psi.” </w:t>
      </w:r>
      <w:r w:rsidRPr="00281428">
        <w:rPr>
          <w:b/>
          <w:bCs/>
          <w:szCs w:val="20"/>
        </w:rPr>
        <w:t xml:space="preserve">The term X refers to the maximum volume percent ethanol present in the </w:t>
      </w:r>
      <w:r w:rsidRPr="00281428">
        <w:rPr>
          <w:b/>
          <w:bCs/>
          <w:szCs w:val="20"/>
        </w:rPr>
        <w:tab/>
        <w:t>gasoline.</w:t>
      </w:r>
    </w:p>
    <w:p w14:paraId="334734C5" w14:textId="77777777" w:rsidR="005D640A" w:rsidRPr="00281428" w:rsidRDefault="005D640A" w:rsidP="005D640A">
      <w:pPr>
        <w:ind w:left="2160"/>
        <w:rPr>
          <w:szCs w:val="20"/>
        </w:rPr>
      </w:pPr>
      <w:r w:rsidRPr="00281428">
        <w:rPr>
          <w:szCs w:val="20"/>
        </w:rPr>
        <w:t xml:space="preserve">(2) </w:t>
      </w:r>
      <w:r w:rsidRPr="00281428">
        <w:rPr>
          <w:b/>
          <w:bCs/>
          <w:szCs w:val="20"/>
        </w:rPr>
        <w:t>The conspicuous statement that the gasoline being shipped contains ethanol and the percentage concentration of ethanol as described in § 80.27(d)(3</w:t>
      </w:r>
      <w:r w:rsidRPr="00281428">
        <w:rPr>
          <w:szCs w:val="20"/>
        </w:rPr>
        <w:t>) may be used in lieu of the statement required under paragraph (b)(1)(vi)(B)(1) of this section.</w:t>
      </w:r>
    </w:p>
    <w:p w14:paraId="4DC02F06" w14:textId="77777777" w:rsidR="005D640A" w:rsidRPr="00281428" w:rsidRDefault="005D640A" w:rsidP="005D640A">
      <w:pPr>
        <w:ind w:left="1440" w:hanging="360"/>
        <w:rPr>
          <w:szCs w:val="20"/>
        </w:rPr>
      </w:pPr>
      <w:r w:rsidRPr="00281428">
        <w:rPr>
          <w:szCs w:val="20"/>
        </w:rPr>
        <w:t>(2)</w:t>
      </w:r>
      <w:r w:rsidRPr="00281428">
        <w:rPr>
          <w:szCs w:val="20"/>
        </w:rPr>
        <w:tab/>
        <w:t>Except for transfers to truck carriers, retailers, or wholesale purchaser-consumers, product codes may be used to convey the information required under paragraph (b)(1) of this section if such codes are clearly understood by each transferee.</w:t>
      </w:r>
    </w:p>
    <w:p w14:paraId="60D8E1A1" w14:textId="77777777" w:rsidR="005D640A" w:rsidRPr="00281428" w:rsidRDefault="005D640A" w:rsidP="005D640A">
      <w:pPr>
        <w:ind w:left="1800" w:hanging="360"/>
        <w:rPr>
          <w:szCs w:val="20"/>
        </w:rPr>
      </w:pPr>
      <w:r w:rsidRPr="00281428">
        <w:rPr>
          <w:szCs w:val="20"/>
        </w:rPr>
        <w:t>(c)</w:t>
      </w:r>
      <w:r w:rsidRPr="00281428">
        <w:rPr>
          <w:szCs w:val="20"/>
        </w:rPr>
        <w:tab/>
        <w:t>The records required by this section must be kept by the transferor and transferee for five (5) years from the date they were created or received by each party in the distribution system.</w:t>
      </w:r>
    </w:p>
    <w:p w14:paraId="7B54BF44" w14:textId="77777777" w:rsidR="005D640A" w:rsidRPr="00281428" w:rsidRDefault="005D640A" w:rsidP="005D640A">
      <w:pPr>
        <w:spacing w:after="60"/>
        <w:ind w:left="1800" w:hanging="360"/>
        <w:rPr>
          <w:szCs w:val="20"/>
        </w:rPr>
      </w:pPr>
      <w:r w:rsidRPr="00281428">
        <w:rPr>
          <w:szCs w:val="20"/>
        </w:rPr>
        <w:t>(d)</w:t>
      </w:r>
      <w:r w:rsidRPr="00281428">
        <w:rPr>
          <w:szCs w:val="20"/>
        </w:rPr>
        <w:tab/>
        <w:t>On request by EPA, the records required by this section must be made available to the Administrator or the Administrator's authorized representative. For records that are electronically generated or maintained, the equipment or software necessary to read the records shall be made available, or, if requested by EPA, electronic records shall be converted to paper documents.</w:t>
      </w:r>
    </w:p>
    <w:p w14:paraId="7D3A957A" w14:textId="77777777" w:rsidR="005D640A" w:rsidRPr="00281428" w:rsidRDefault="005D640A" w:rsidP="005D640A">
      <w:pPr>
        <w:spacing w:after="120"/>
        <w:ind w:left="1080"/>
        <w:rPr>
          <w:szCs w:val="20"/>
        </w:rPr>
      </w:pPr>
      <w:r w:rsidRPr="00281428">
        <w:rPr>
          <w:szCs w:val="20"/>
        </w:rPr>
        <w:t xml:space="preserve">[76 FR 44443, July 25, 2011, as amended at 79 FR 42167, July 18, </w:t>
      </w:r>
      <w:proofErr w:type="gramStart"/>
      <w:r w:rsidRPr="00281428">
        <w:rPr>
          <w:szCs w:val="20"/>
        </w:rPr>
        <w:t>2014;</w:t>
      </w:r>
      <w:proofErr w:type="gramEnd"/>
      <w:r w:rsidRPr="00281428">
        <w:rPr>
          <w:szCs w:val="20"/>
        </w:rPr>
        <w:t xml:space="preserve"> 84 FR 27025, June 10, 2019]</w:t>
      </w:r>
    </w:p>
    <w:p w14:paraId="4B855A3D" w14:textId="77777777" w:rsidR="005D640A" w:rsidRPr="00281428" w:rsidRDefault="005D640A" w:rsidP="005D640A">
      <w:pPr>
        <w:jc w:val="right"/>
        <w:rPr>
          <w:szCs w:val="20"/>
        </w:rPr>
      </w:pPr>
      <w:r w:rsidRPr="00281428">
        <w:rPr>
          <w:szCs w:val="20"/>
        </w:rPr>
        <w:t>(emphasis added)</w:t>
      </w:r>
    </w:p>
    <w:p w14:paraId="55E3A5CF" w14:textId="13D9DA2E" w:rsidR="005D640A" w:rsidRPr="00281428" w:rsidRDefault="005D640A" w:rsidP="005D640A">
      <w:pPr>
        <w:spacing w:after="200"/>
        <w:rPr>
          <w:rFonts w:eastAsiaTheme="minorHAnsi" w:cstheme="minorBidi"/>
          <w:szCs w:val="20"/>
        </w:rPr>
      </w:pPr>
      <w:r w:rsidRPr="00281428">
        <w:rPr>
          <w:rFonts w:eastAsiaTheme="minorHAnsi" w:cstheme="minorBidi"/>
          <w:szCs w:val="20"/>
        </w:rPr>
        <w:t>On January 17, 2020, Mr. Prentiss Searles (API) submitted modified language for Section 2.1.2.(a). Gasoline-Ethanol Blends.  There were over ten letters received in opposition for MOS-20.2 Documentation for Dispenser Labeling Purposes and FLR 20.3.   Section 1.23. Ethanol Flex Fuel language.  Many were opposed due to its duplication with the EPA compliance program for this subject</w:t>
      </w:r>
    </w:p>
    <w:p w14:paraId="195CD343" w14:textId="6A4D1100" w:rsidR="005D640A" w:rsidRPr="00281428" w:rsidRDefault="005D640A" w:rsidP="005D640A">
      <w:pPr>
        <w:spacing w:after="200"/>
        <w:rPr>
          <w:rFonts w:eastAsiaTheme="minorHAnsi" w:cstheme="minorBidi"/>
          <w:szCs w:val="20"/>
        </w:rPr>
      </w:pPr>
      <w:r w:rsidRPr="00ED0D76">
        <w:rPr>
          <w:rFonts w:eastAsiaTheme="minorHAnsi" w:cstheme="minorBidi"/>
          <w:szCs w:val="20"/>
          <w:u w:val="single"/>
        </w:rPr>
        <w:t>NCWM</w:t>
      </w:r>
      <w:r w:rsidR="0081217C">
        <w:rPr>
          <w:rFonts w:eastAsiaTheme="minorHAnsi" w:cstheme="minorBidi"/>
          <w:szCs w:val="20"/>
          <w:u w:val="single"/>
        </w:rPr>
        <w:t xml:space="preserve"> 2020</w:t>
      </w:r>
      <w:r w:rsidRPr="00ED0D76">
        <w:rPr>
          <w:rFonts w:eastAsiaTheme="minorHAnsi" w:cstheme="minorBidi"/>
          <w:szCs w:val="20"/>
          <w:u w:val="single"/>
        </w:rPr>
        <w:t xml:space="preserve"> Interim Meeting</w:t>
      </w:r>
      <w:r w:rsidR="00ED0D76" w:rsidRPr="00ED0D76">
        <w:rPr>
          <w:rFonts w:eastAsiaTheme="minorHAnsi" w:cstheme="minorBidi"/>
          <w:szCs w:val="20"/>
          <w:u w:val="single"/>
        </w:rPr>
        <w:t>:</w:t>
      </w:r>
      <w:r w:rsidRPr="00281428">
        <w:rPr>
          <w:rFonts w:eastAsiaTheme="minorHAnsi" w:cstheme="minorBidi"/>
          <w:szCs w:val="20"/>
        </w:rPr>
        <w:t xml:space="preserve"> Mr. Searles did provide a presentation and requested from the floor that Section 2.1.2.(a) Gasoline -Ethanol Blends be considered as a Voting Item and he volunteered to chair a workgroup to further develop the remaining items.  Many rose in support and opposition of this block of items.   It was addressed by Ms. Warfield (NIST</w:t>
      </w:r>
      <w:r w:rsidR="00524DCB">
        <w:rPr>
          <w:rFonts w:eastAsiaTheme="minorHAnsi" w:cstheme="minorBidi"/>
          <w:szCs w:val="20"/>
        </w:rPr>
        <w:t xml:space="preserve"> OWM</w:t>
      </w:r>
      <w:r w:rsidRPr="00281428">
        <w:rPr>
          <w:rFonts w:eastAsiaTheme="minorHAnsi" w:cstheme="minorBidi"/>
          <w:szCs w:val="20"/>
        </w:rPr>
        <w:t xml:space="preserve">) that FALS was tasked by the Committee in July 2019 to review the EPA language and its impact on the regulations within the Fuels Regulations within Handbook 130.  </w:t>
      </w:r>
      <w:r w:rsidR="00515909" w:rsidRPr="00281428">
        <w:rPr>
          <w:rFonts w:eastAsiaTheme="minorHAnsi" w:cstheme="minorBidi"/>
          <w:szCs w:val="20"/>
        </w:rPr>
        <w:t>FALS Chair</w:t>
      </w:r>
      <w:r w:rsidRPr="00281428">
        <w:rPr>
          <w:rFonts w:eastAsiaTheme="minorHAnsi" w:cstheme="minorBidi"/>
          <w:szCs w:val="20"/>
        </w:rPr>
        <w:t xml:space="preserve"> </w:t>
      </w:r>
      <w:r w:rsidR="00524DCB">
        <w:rPr>
          <w:rFonts w:eastAsiaTheme="minorHAnsi" w:cstheme="minorBidi"/>
          <w:szCs w:val="20"/>
        </w:rPr>
        <w:t xml:space="preserve">Mr. </w:t>
      </w:r>
      <w:r w:rsidRPr="00281428">
        <w:rPr>
          <w:rFonts w:eastAsiaTheme="minorHAnsi" w:cstheme="minorBidi"/>
          <w:szCs w:val="20"/>
        </w:rPr>
        <w:t xml:space="preserve">Striejewske remarked that he has created a focus group but needs additional clarification from the Committee on what specifically they should address.   </w:t>
      </w:r>
    </w:p>
    <w:p w14:paraId="19217BBF" w14:textId="519E4FE7" w:rsidR="005D640A" w:rsidRDefault="005D640A" w:rsidP="005D640A">
      <w:pPr>
        <w:spacing w:after="200"/>
        <w:rPr>
          <w:rFonts w:eastAsiaTheme="minorHAnsi" w:cstheme="minorBidi"/>
          <w:szCs w:val="20"/>
        </w:rPr>
      </w:pPr>
      <w:r w:rsidRPr="00281428">
        <w:rPr>
          <w:rFonts w:eastAsiaTheme="minorHAnsi" w:cstheme="minorBidi"/>
          <w:szCs w:val="20"/>
        </w:rPr>
        <w:t>During Committee work session they concurred that Section 2.1.2.(a). Gasoline-Ethanol Blends will proceed as a Voting item. All the remaining items will be merged into Block 4 and be assigned to FALS for further development.</w:t>
      </w:r>
    </w:p>
    <w:p w14:paraId="416C25E3" w14:textId="30242ED1" w:rsidR="00554191" w:rsidRPr="00554191" w:rsidRDefault="00554191" w:rsidP="005D640A">
      <w:pPr>
        <w:spacing w:after="200"/>
        <w:rPr>
          <w:rFonts w:eastAsiaTheme="minorHAnsi" w:cstheme="minorBidi"/>
          <w:szCs w:val="20"/>
        </w:rPr>
      </w:pPr>
      <w:r w:rsidRPr="00554191">
        <w:rPr>
          <w:u w:val="single"/>
        </w:rPr>
        <w:t xml:space="preserve">NCWM </w:t>
      </w:r>
      <w:r w:rsidR="0081217C">
        <w:rPr>
          <w:u w:val="single"/>
        </w:rPr>
        <w:t xml:space="preserve">2020 </w:t>
      </w:r>
      <w:r w:rsidRPr="00554191">
        <w:rPr>
          <w:u w:val="single"/>
        </w:rPr>
        <w:t>Annual Meeting</w:t>
      </w:r>
      <w:r w:rsidRPr="00554191">
        <w:t>: Due to the 2020 Covid-19 pandemic, this meeting was adjourned to January 2021, at which time it was held as a virtual meeting.  Due to constraint of time, only those items designated as 2020 Voting Items were addressed.  All other items were addressed in the subsequent 2021 NCWM Interim Meeting.</w:t>
      </w:r>
    </w:p>
    <w:p w14:paraId="5FA4AF24" w14:textId="782E0F21" w:rsidR="00A00E0F" w:rsidRPr="00281428" w:rsidRDefault="000B4621" w:rsidP="00A00E0F">
      <w:pPr>
        <w:spacing w:after="120"/>
        <w:rPr>
          <w:rFonts w:eastAsiaTheme="minorHAnsi" w:cstheme="minorBidi"/>
          <w:szCs w:val="20"/>
        </w:rPr>
      </w:pPr>
      <w:r w:rsidRPr="00554191">
        <w:rPr>
          <w:rFonts w:eastAsiaTheme="minorHAnsi" w:cstheme="minorBidi"/>
          <w:szCs w:val="20"/>
          <w:u w:val="single"/>
        </w:rPr>
        <w:lastRenderedPageBreak/>
        <w:t xml:space="preserve">NCWM </w:t>
      </w:r>
      <w:r w:rsidR="00557607">
        <w:rPr>
          <w:rFonts w:eastAsiaTheme="minorHAnsi" w:cstheme="minorBidi"/>
          <w:szCs w:val="20"/>
          <w:u w:val="single"/>
        </w:rPr>
        <w:t xml:space="preserve">2021 </w:t>
      </w:r>
      <w:r w:rsidRPr="00554191">
        <w:rPr>
          <w:rFonts w:eastAsiaTheme="minorHAnsi" w:cstheme="minorBidi"/>
          <w:szCs w:val="20"/>
          <w:u w:val="single"/>
        </w:rPr>
        <w:t>Interim Meeting</w:t>
      </w:r>
      <w:r w:rsidR="00ED0D76" w:rsidRPr="00554191">
        <w:rPr>
          <w:rFonts w:eastAsiaTheme="minorHAnsi" w:cstheme="minorBidi"/>
          <w:szCs w:val="20"/>
          <w:u w:val="single"/>
        </w:rPr>
        <w:t>:</w:t>
      </w:r>
      <w:r w:rsidR="00ED0D76">
        <w:rPr>
          <w:rFonts w:eastAsiaTheme="minorHAnsi" w:cstheme="minorBidi"/>
          <w:szCs w:val="20"/>
        </w:rPr>
        <w:t xml:space="preserve"> </w:t>
      </w:r>
      <w:r w:rsidRPr="00281428">
        <w:rPr>
          <w:rFonts w:eastAsiaTheme="minorHAnsi" w:cstheme="minorBidi"/>
          <w:szCs w:val="20"/>
        </w:rPr>
        <w:t xml:space="preserve"> Mr. </w:t>
      </w:r>
      <w:r w:rsidR="00E47529">
        <w:rPr>
          <w:rFonts w:eastAsiaTheme="minorHAnsi" w:cstheme="minorBidi"/>
          <w:szCs w:val="20"/>
        </w:rPr>
        <w:t xml:space="preserve">Prentiss </w:t>
      </w:r>
      <w:r w:rsidRPr="00281428">
        <w:rPr>
          <w:rFonts w:eastAsiaTheme="minorHAnsi" w:cstheme="minorBidi"/>
          <w:szCs w:val="20"/>
        </w:rPr>
        <w:t>Searles (API</w:t>
      </w:r>
      <w:r w:rsidR="0081217C">
        <w:rPr>
          <w:rFonts w:eastAsiaTheme="minorHAnsi" w:cstheme="minorBidi"/>
          <w:szCs w:val="20"/>
        </w:rPr>
        <w:t xml:space="preserve">, </w:t>
      </w:r>
      <w:r w:rsidRPr="00281428">
        <w:rPr>
          <w:rFonts w:eastAsiaTheme="minorHAnsi" w:cstheme="minorBidi"/>
          <w:szCs w:val="20"/>
        </w:rPr>
        <w:t xml:space="preserve">submitter) requested that this item be withdrawn of it is not given an Assigned status to be further developed by FALS.   Mr. Searles </w:t>
      </w:r>
      <w:r w:rsidR="00E47529">
        <w:rPr>
          <w:rFonts w:eastAsiaTheme="minorHAnsi" w:cstheme="minorBidi"/>
          <w:szCs w:val="20"/>
        </w:rPr>
        <w:t>agreed</w:t>
      </w:r>
      <w:r w:rsidRPr="00281428">
        <w:rPr>
          <w:rFonts w:eastAsiaTheme="minorHAnsi" w:cstheme="minorBidi"/>
          <w:szCs w:val="20"/>
        </w:rPr>
        <w:t xml:space="preserve"> to lead a task group to review the language and align with the EPA Streamlining regulations.  Mr. Charlie Stutesman (</w:t>
      </w:r>
      <w:r w:rsidR="00B77A3C">
        <w:rPr>
          <w:rFonts w:eastAsiaTheme="minorHAnsi" w:cstheme="minorBidi"/>
          <w:szCs w:val="20"/>
        </w:rPr>
        <w:t>KS</w:t>
      </w:r>
      <w:r w:rsidRPr="00281428">
        <w:rPr>
          <w:rFonts w:eastAsiaTheme="minorHAnsi" w:cstheme="minorBidi"/>
          <w:szCs w:val="20"/>
        </w:rPr>
        <w:t xml:space="preserve">) requested that this item be withdrawn considering the EPA Streamlining regulations. </w:t>
      </w:r>
    </w:p>
    <w:p w14:paraId="6CFA2CFC" w14:textId="77777777" w:rsidR="00A00E0F" w:rsidRPr="00281428" w:rsidRDefault="00A00E0F" w:rsidP="00A00E0F">
      <w:pPr>
        <w:keepNext/>
        <w:keepLines/>
        <w:spacing w:after="120"/>
        <w:rPr>
          <w:szCs w:val="20"/>
        </w:rPr>
      </w:pPr>
      <w:r w:rsidRPr="00281428">
        <w:rPr>
          <w:b/>
          <w:szCs w:val="20"/>
        </w:rPr>
        <w:t>Regional Association Comments:</w:t>
      </w:r>
    </w:p>
    <w:p w14:paraId="401259BB" w14:textId="36FF49B1" w:rsidR="005D640A" w:rsidRPr="00281428" w:rsidRDefault="005D640A" w:rsidP="005D640A">
      <w:pPr>
        <w:rPr>
          <w:rFonts w:eastAsia="Times New Roman"/>
          <w:szCs w:val="24"/>
        </w:rPr>
      </w:pPr>
      <w:r w:rsidRPr="00281428">
        <w:rPr>
          <w:szCs w:val="20"/>
          <w:u w:val="single"/>
        </w:rPr>
        <w:t>WWMA 2019 Annual Meeting:</w:t>
      </w:r>
      <w:r w:rsidRPr="00281428">
        <w:rPr>
          <w:szCs w:val="20"/>
        </w:rPr>
        <w:t xml:space="preserve">  </w:t>
      </w:r>
      <w:r w:rsidRPr="00281428">
        <w:rPr>
          <w:rFonts w:eastAsia="Times New Roman"/>
          <w:szCs w:val="24"/>
        </w:rPr>
        <w:t>There was a presentation provided by Mr. Joe Sorena (representing API).  Mr. Kevin Adlaf (</w:t>
      </w:r>
      <w:r w:rsidR="00B77A3C">
        <w:rPr>
          <w:rFonts w:eastAsia="Times New Roman"/>
          <w:szCs w:val="24"/>
        </w:rPr>
        <w:t>ADM)</w:t>
      </w:r>
      <w:r w:rsidRPr="00281428">
        <w:rPr>
          <w:rFonts w:eastAsia="Times New Roman"/>
          <w:szCs w:val="24"/>
        </w:rPr>
        <w:t xml:space="preserve"> remarked that the CFR covers this information and state regulators would start enforcing EPA requirements.  Is there any data showing that this is needed?  Ms. Jacki Fee (Cargill) also concurred that this would be placing the EPA regulations within the States’ hands, for this reason she is recommended this be Withdrawn.  Mr. Steven Harrington (</w:t>
      </w:r>
      <w:r w:rsidR="00B77A3C">
        <w:rPr>
          <w:rFonts w:eastAsia="Times New Roman"/>
          <w:szCs w:val="24"/>
        </w:rPr>
        <w:t>OR</w:t>
      </w:r>
      <w:r w:rsidRPr="00281428">
        <w:rPr>
          <w:rFonts w:eastAsia="Times New Roman"/>
          <w:szCs w:val="24"/>
        </w:rPr>
        <w:t xml:space="preserve">) indicated that it us useful to have the certain critical elements within the </w:t>
      </w:r>
      <w:r w:rsidR="00B77A3C">
        <w:rPr>
          <w:rFonts w:eastAsia="Times New Roman"/>
          <w:szCs w:val="24"/>
        </w:rPr>
        <w:t>H</w:t>
      </w:r>
      <w:r w:rsidRPr="00281428">
        <w:rPr>
          <w:rFonts w:eastAsia="Times New Roman"/>
          <w:szCs w:val="24"/>
        </w:rPr>
        <w:t>andbook.  He encourages further review and development.  Ms. Rebecca Richardson (</w:t>
      </w:r>
      <w:r w:rsidR="00B77A3C">
        <w:rPr>
          <w:rFonts w:eastAsia="Times New Roman"/>
          <w:szCs w:val="24"/>
        </w:rPr>
        <w:t>NBB</w:t>
      </w:r>
      <w:r w:rsidRPr="00281428">
        <w:rPr>
          <w:rFonts w:eastAsia="Times New Roman"/>
          <w:szCs w:val="24"/>
        </w:rPr>
        <w:t xml:space="preserve">) questioned whether this was being driven by a consumer issue and what is the premise for this proposal.    It was mentioned that FALS was tasked with doing a review of Handbook 130 regulations and a review of the EPA rule.  Ms. Kristy Moore (Growth Energy) stated that it is a complex proposal with significant scope.   There are considerable references to product transfer documents (PTD) throughout the EPA rule and </w:t>
      </w:r>
      <w:r w:rsidR="00B77A3C" w:rsidRPr="00281428">
        <w:rPr>
          <w:rFonts w:eastAsia="Times New Roman"/>
          <w:szCs w:val="24"/>
        </w:rPr>
        <w:t>these only extracts</w:t>
      </w:r>
      <w:r w:rsidRPr="00281428">
        <w:rPr>
          <w:rFonts w:eastAsia="Times New Roman"/>
          <w:szCs w:val="24"/>
        </w:rPr>
        <w:t xml:space="preserve"> one.    Ms. Moore believed if you were extracting one then you should extract all.  Ms. Moore believes that that current language is enough and recommends this item be withdrawn.  Mr. Matt Sheehan (Chevron) stated the purpose of the modification was to provide information to retail sites and the EPA rules in the Clean Air Act are complicated.  This is needed so retailers can understand the ethanol content in gasoline and consumers understand what they are purchasing.  Ms. Michelle Wilson (</w:t>
      </w:r>
      <w:r w:rsidR="00B77A3C">
        <w:rPr>
          <w:rFonts w:eastAsia="Times New Roman"/>
          <w:szCs w:val="24"/>
        </w:rPr>
        <w:t>AZ</w:t>
      </w:r>
      <w:r w:rsidRPr="00281428">
        <w:rPr>
          <w:rFonts w:eastAsia="Times New Roman"/>
          <w:szCs w:val="24"/>
        </w:rPr>
        <w:t xml:space="preserve">) remarked that they require PTDs to document the amount of ethanol and recommends this be assigned to FALS.  </w:t>
      </w:r>
    </w:p>
    <w:p w14:paraId="1B09233E" w14:textId="77777777" w:rsidR="005D640A" w:rsidRPr="00281428" w:rsidRDefault="005D640A" w:rsidP="005D640A">
      <w:pPr>
        <w:rPr>
          <w:szCs w:val="20"/>
          <w:u w:val="single"/>
        </w:rPr>
      </w:pPr>
      <w:r w:rsidRPr="00281428">
        <w:rPr>
          <w:rFonts w:eastAsia="Times New Roman"/>
          <w:szCs w:val="24"/>
        </w:rPr>
        <w:t>The Committee is recommending this as an Assigned item with an evaluation if the proposal is warranted and to address comments that were heard during open hearings.  They would like FALS to provide a recommendation to NCWM L&amp;R.</w:t>
      </w:r>
    </w:p>
    <w:p w14:paraId="4899BFDD" w14:textId="77777777" w:rsidR="005D640A" w:rsidRPr="00281428" w:rsidRDefault="005D640A" w:rsidP="005D640A">
      <w:pPr>
        <w:rPr>
          <w:rFonts w:eastAsia="Times New Roman"/>
          <w:szCs w:val="24"/>
        </w:rPr>
      </w:pPr>
      <w:r w:rsidRPr="00281428">
        <w:rPr>
          <w:szCs w:val="20"/>
          <w:u w:val="single"/>
        </w:rPr>
        <w:t>SWMA 2019 Annual Meeting:</w:t>
      </w:r>
      <w:r w:rsidRPr="00281428">
        <w:rPr>
          <w:szCs w:val="20"/>
        </w:rPr>
        <w:t xml:space="preserve">  Mr. </w:t>
      </w:r>
      <w:r w:rsidRPr="00281428">
        <w:rPr>
          <w:rFonts w:eastAsia="Times New Roman"/>
          <w:szCs w:val="24"/>
        </w:rPr>
        <w:t xml:space="preserve">Russ Lewis (representing API) provided a presentation (on the NCWM L&amp;R supporting documents).  There was considerable discussion for the pros and cons of this proposal.  </w:t>
      </w:r>
    </w:p>
    <w:p w14:paraId="4D625FEB" w14:textId="77777777" w:rsidR="005D640A" w:rsidRPr="00281428" w:rsidRDefault="005D640A" w:rsidP="005D640A">
      <w:pPr>
        <w:rPr>
          <w:szCs w:val="20"/>
        </w:rPr>
      </w:pPr>
      <w:r w:rsidRPr="00281428">
        <w:rPr>
          <w:rFonts w:eastAsia="Times New Roman"/>
          <w:szCs w:val="24"/>
        </w:rPr>
        <w:t>The Committee did not have enough fuels expertise but concurs that this is an important topic.   They would like to see the product coming through the nozzle have the specifications that are posted.   Consumers need to know what they are getting.  They are not sure how it will affect the regulators role in implementing this regulation.  The Committee would like this item to be sent to FALS where the subject matter experts (SME’s) can provide their technical expertise.</w:t>
      </w:r>
    </w:p>
    <w:p w14:paraId="5206A405" w14:textId="15466C7A" w:rsidR="005D640A" w:rsidRDefault="005D640A" w:rsidP="005D640A">
      <w:pPr>
        <w:rPr>
          <w:rFonts w:eastAsia="Times New Roman"/>
          <w:szCs w:val="24"/>
        </w:rPr>
      </w:pPr>
      <w:r w:rsidRPr="00281428">
        <w:rPr>
          <w:szCs w:val="20"/>
          <w:u w:val="single"/>
        </w:rPr>
        <w:t>NEWMA 2019 Interim Meeting:</w:t>
      </w:r>
      <w:r w:rsidRPr="00281428">
        <w:rPr>
          <w:szCs w:val="20"/>
        </w:rPr>
        <w:t xml:space="preserve">  Mr. </w:t>
      </w:r>
      <w:r w:rsidRPr="00281428">
        <w:rPr>
          <w:rFonts w:eastAsia="Times New Roman"/>
          <w:szCs w:val="24"/>
        </w:rPr>
        <w:t xml:space="preserve">Bill Hornbach (representing Chevron and API), provided a presentation regarding this item. </w:t>
      </w:r>
      <w:r w:rsidR="008926C7">
        <w:rPr>
          <w:rFonts w:eastAsia="Times New Roman"/>
          <w:szCs w:val="24"/>
        </w:rPr>
        <w:t xml:space="preserve"> </w:t>
      </w:r>
      <w:r w:rsidRPr="00281428">
        <w:rPr>
          <w:rFonts w:eastAsia="Times New Roman"/>
          <w:szCs w:val="24"/>
        </w:rPr>
        <w:t xml:space="preserve">L&amp;R Chairman </w:t>
      </w:r>
      <w:r w:rsidR="00595D9D">
        <w:rPr>
          <w:rFonts w:eastAsia="Times New Roman"/>
          <w:szCs w:val="24"/>
        </w:rPr>
        <w:t xml:space="preserve">Mr. </w:t>
      </w:r>
      <w:r w:rsidR="008926C7">
        <w:rPr>
          <w:rFonts w:eastAsia="Times New Roman"/>
          <w:szCs w:val="24"/>
        </w:rPr>
        <w:t xml:space="preserve">Lou </w:t>
      </w:r>
      <w:r w:rsidRPr="00281428">
        <w:rPr>
          <w:rFonts w:eastAsia="Times New Roman"/>
          <w:szCs w:val="24"/>
        </w:rPr>
        <w:t>Sakin</w:t>
      </w:r>
      <w:r w:rsidR="00595D9D">
        <w:rPr>
          <w:rFonts w:eastAsia="Times New Roman"/>
          <w:szCs w:val="24"/>
        </w:rPr>
        <w:t xml:space="preserve"> (MA)</w:t>
      </w:r>
      <w:r w:rsidRPr="00281428">
        <w:rPr>
          <w:rFonts w:eastAsia="Times New Roman"/>
          <w:szCs w:val="24"/>
        </w:rPr>
        <w:t xml:space="preserve"> read comments submitted from Ms. Kristy Moore during open hearings at WWMA Annual Meeting.  Ms. Moore believes this item as it currently appears in Handbook 130 is enough, and the proposal should be withdrawn because it places unfair rules on ethanol and not on other fuels.  Mr. Kevin Adlaf (ADM) commented that transfer documents are not new, and he believes that having these provisions in place will not guarantee the finished fuel will meet spec.  Ms. Jackie Fee (Cargill) opposes the item and believes the proposal should be </w:t>
      </w:r>
      <w:r w:rsidR="00595D9D">
        <w:rPr>
          <w:rFonts w:eastAsia="Times New Roman"/>
          <w:szCs w:val="24"/>
        </w:rPr>
        <w:t>W</w:t>
      </w:r>
      <w:r w:rsidRPr="00281428">
        <w:rPr>
          <w:rFonts w:eastAsia="Times New Roman"/>
          <w:szCs w:val="24"/>
        </w:rPr>
        <w:t>ithdrawn.  Due to its technical complexity, the Committee believes the item should be assigned to FALS for further consideration.</w:t>
      </w:r>
    </w:p>
    <w:p w14:paraId="6DAC7400" w14:textId="1A8E16B4" w:rsidR="00ED0D76" w:rsidRPr="00281428" w:rsidRDefault="00ED0D76" w:rsidP="005D640A">
      <w:pPr>
        <w:rPr>
          <w:szCs w:val="20"/>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w:t>
      </w:r>
      <w:r w:rsidR="00595D9D">
        <w:t>-19</w:t>
      </w:r>
      <w:r w:rsidRPr="007267B5">
        <w:t xml:space="preserve"> pandemic and did</w:t>
      </w:r>
      <w:r w:rsidRPr="00C549D6">
        <w:t xml:space="preserve"> not consider this item</w:t>
      </w:r>
      <w:r>
        <w:t>.</w:t>
      </w:r>
    </w:p>
    <w:p w14:paraId="63CF3200" w14:textId="1B359EB9" w:rsidR="005D640A" w:rsidRPr="00281428" w:rsidRDefault="005D640A" w:rsidP="005D640A">
      <w:pPr>
        <w:rPr>
          <w:rFonts w:eastAsia="Times New Roman"/>
          <w:szCs w:val="24"/>
        </w:rPr>
      </w:pPr>
      <w:r w:rsidRPr="00281428">
        <w:rPr>
          <w:szCs w:val="20"/>
          <w:u w:val="single"/>
        </w:rPr>
        <w:t>CWMA 2020 Interim Meeting:</w:t>
      </w:r>
      <w:r w:rsidRPr="00281428">
        <w:rPr>
          <w:szCs w:val="20"/>
        </w:rPr>
        <w:t xml:space="preserve">  Mr. </w:t>
      </w:r>
      <w:r w:rsidRPr="00281428">
        <w:t>Charlie</w:t>
      </w:r>
      <w:r w:rsidRPr="00281428">
        <w:rPr>
          <w:spacing w:val="-7"/>
        </w:rPr>
        <w:t xml:space="preserve"> </w:t>
      </w:r>
      <w:r w:rsidRPr="00281428">
        <w:t>Stutesman (</w:t>
      </w:r>
      <w:r w:rsidR="00E9013B">
        <w:t>KS</w:t>
      </w:r>
      <w:r w:rsidRPr="00281428">
        <w:t>)</w:t>
      </w:r>
      <w:r w:rsidRPr="00281428">
        <w:rPr>
          <w:spacing w:val="-4"/>
        </w:rPr>
        <w:t xml:space="preserve"> </w:t>
      </w:r>
      <w:r w:rsidRPr="00281428">
        <w:t>commented</w:t>
      </w:r>
      <w:r w:rsidRPr="00281428">
        <w:rPr>
          <w:spacing w:val="-6"/>
        </w:rPr>
        <w:t xml:space="preserve"> </w:t>
      </w:r>
      <w:r w:rsidRPr="00281428">
        <w:t>that</w:t>
      </w:r>
      <w:r w:rsidRPr="00281428">
        <w:rPr>
          <w:spacing w:val="-6"/>
        </w:rPr>
        <w:t xml:space="preserve"> </w:t>
      </w:r>
      <w:r w:rsidRPr="00281428">
        <w:t>he</w:t>
      </w:r>
      <w:r w:rsidRPr="00281428">
        <w:rPr>
          <w:spacing w:val="-6"/>
        </w:rPr>
        <w:t xml:space="preserve"> </w:t>
      </w:r>
      <w:r w:rsidRPr="00281428">
        <w:t>believes</w:t>
      </w:r>
      <w:r w:rsidRPr="00281428">
        <w:rPr>
          <w:spacing w:val="-6"/>
        </w:rPr>
        <w:t xml:space="preserve"> </w:t>
      </w:r>
      <w:r w:rsidRPr="00281428">
        <w:t>this</w:t>
      </w:r>
      <w:r w:rsidRPr="00281428">
        <w:rPr>
          <w:spacing w:val="-8"/>
        </w:rPr>
        <w:t xml:space="preserve"> </w:t>
      </w:r>
      <w:r w:rsidRPr="00281428">
        <w:t>item</w:t>
      </w:r>
      <w:r w:rsidRPr="00281428">
        <w:rPr>
          <w:spacing w:val="-5"/>
        </w:rPr>
        <w:t xml:space="preserve"> </w:t>
      </w:r>
      <w:r w:rsidRPr="00281428">
        <w:t>should</w:t>
      </w:r>
      <w:r w:rsidRPr="00281428">
        <w:rPr>
          <w:spacing w:val="-6"/>
        </w:rPr>
        <w:t xml:space="preserve"> </w:t>
      </w:r>
      <w:r w:rsidRPr="00281428">
        <w:t>continue</w:t>
      </w:r>
      <w:r w:rsidRPr="00281428">
        <w:rPr>
          <w:spacing w:val="-5"/>
        </w:rPr>
        <w:t xml:space="preserve"> </w:t>
      </w:r>
      <w:r w:rsidRPr="00281428">
        <w:t>to</w:t>
      </w:r>
      <w:r w:rsidRPr="00281428">
        <w:rPr>
          <w:spacing w:val="-6"/>
        </w:rPr>
        <w:t xml:space="preserve"> </w:t>
      </w:r>
      <w:r w:rsidRPr="00281428">
        <w:t>develop</w:t>
      </w:r>
      <w:r w:rsidRPr="00281428">
        <w:rPr>
          <w:spacing w:val="-6"/>
        </w:rPr>
        <w:t xml:space="preserve"> </w:t>
      </w:r>
      <w:r w:rsidRPr="00281428">
        <w:t>through</w:t>
      </w:r>
      <w:r w:rsidRPr="00281428">
        <w:rPr>
          <w:spacing w:val="-5"/>
        </w:rPr>
        <w:t xml:space="preserve"> </w:t>
      </w:r>
      <w:r w:rsidRPr="00281428">
        <w:t>FALS.</w:t>
      </w:r>
      <w:r w:rsidRPr="00281428">
        <w:rPr>
          <w:spacing w:val="-6"/>
        </w:rPr>
        <w:t xml:space="preserve">  Ms. </w:t>
      </w:r>
      <w:r w:rsidRPr="00281428">
        <w:t>Kristy Moore (Growth</w:t>
      </w:r>
      <w:r w:rsidRPr="00281428">
        <w:rPr>
          <w:spacing w:val="-12"/>
        </w:rPr>
        <w:t xml:space="preserve"> </w:t>
      </w:r>
      <w:r w:rsidRPr="00281428">
        <w:t>Energy)</w:t>
      </w:r>
      <w:r w:rsidRPr="00281428">
        <w:rPr>
          <w:spacing w:val="-15"/>
        </w:rPr>
        <w:t xml:space="preserve"> </w:t>
      </w:r>
      <w:r w:rsidRPr="00281428">
        <w:t>believes</w:t>
      </w:r>
      <w:r w:rsidRPr="00281428">
        <w:rPr>
          <w:spacing w:val="-13"/>
        </w:rPr>
        <w:t xml:space="preserve"> </w:t>
      </w:r>
      <w:r w:rsidRPr="00281428">
        <w:t>this</w:t>
      </w:r>
      <w:r w:rsidRPr="00281428">
        <w:rPr>
          <w:spacing w:val="-14"/>
        </w:rPr>
        <w:t xml:space="preserve"> </w:t>
      </w:r>
      <w:r w:rsidRPr="00281428">
        <w:t>item</w:t>
      </w:r>
      <w:r w:rsidRPr="00281428">
        <w:rPr>
          <w:spacing w:val="-13"/>
        </w:rPr>
        <w:t xml:space="preserve"> </w:t>
      </w:r>
      <w:r w:rsidRPr="00281428">
        <w:t>should</w:t>
      </w:r>
      <w:r w:rsidRPr="00281428">
        <w:rPr>
          <w:spacing w:val="-12"/>
        </w:rPr>
        <w:t xml:space="preserve"> </w:t>
      </w:r>
      <w:r w:rsidRPr="00281428">
        <w:t>be</w:t>
      </w:r>
      <w:r w:rsidRPr="00281428">
        <w:rPr>
          <w:spacing w:val="-15"/>
        </w:rPr>
        <w:t xml:space="preserve"> </w:t>
      </w:r>
      <w:r w:rsidRPr="00281428">
        <w:t>withdrawn.</w:t>
      </w:r>
      <w:r w:rsidRPr="00281428">
        <w:rPr>
          <w:spacing w:val="-14"/>
        </w:rPr>
        <w:t xml:space="preserve">  </w:t>
      </w:r>
      <w:r w:rsidR="00595D9D">
        <w:t>Ms. Moore</w:t>
      </w:r>
      <w:r w:rsidRPr="00281428">
        <w:rPr>
          <w:spacing w:val="-13"/>
        </w:rPr>
        <w:t xml:space="preserve"> </w:t>
      </w:r>
      <w:r w:rsidRPr="00281428">
        <w:t>does</w:t>
      </w:r>
      <w:r w:rsidRPr="00281428">
        <w:rPr>
          <w:spacing w:val="-14"/>
        </w:rPr>
        <w:t xml:space="preserve"> </w:t>
      </w:r>
      <w:r w:rsidRPr="00281428">
        <w:t>not</w:t>
      </w:r>
      <w:r w:rsidRPr="00281428">
        <w:rPr>
          <w:spacing w:val="-16"/>
        </w:rPr>
        <w:t xml:space="preserve"> </w:t>
      </w:r>
      <w:r w:rsidRPr="00281428">
        <w:t>believe</w:t>
      </w:r>
      <w:r w:rsidRPr="00281428">
        <w:rPr>
          <w:spacing w:val="-13"/>
        </w:rPr>
        <w:t xml:space="preserve"> </w:t>
      </w:r>
      <w:r w:rsidRPr="00281428">
        <w:t>EPA</w:t>
      </w:r>
      <w:r w:rsidRPr="00281428">
        <w:rPr>
          <w:spacing w:val="-16"/>
        </w:rPr>
        <w:t xml:space="preserve"> </w:t>
      </w:r>
      <w:r w:rsidRPr="00281428">
        <w:t>regulations</w:t>
      </w:r>
      <w:r w:rsidRPr="00281428">
        <w:rPr>
          <w:spacing w:val="-15"/>
        </w:rPr>
        <w:t xml:space="preserve"> </w:t>
      </w:r>
      <w:r w:rsidRPr="00281428">
        <w:t>should</w:t>
      </w:r>
      <w:r w:rsidRPr="00281428">
        <w:rPr>
          <w:spacing w:val="-12"/>
        </w:rPr>
        <w:t xml:space="preserve"> </w:t>
      </w:r>
      <w:r w:rsidRPr="00281428">
        <w:t>appear in Handbook 130.  The Committee recommends this item remain Assigned to</w:t>
      </w:r>
      <w:r w:rsidRPr="00281428">
        <w:rPr>
          <w:spacing w:val="-3"/>
        </w:rPr>
        <w:t xml:space="preserve"> </w:t>
      </w:r>
      <w:r w:rsidRPr="00281428">
        <w:t>FALS</w:t>
      </w:r>
      <w:r w:rsidRPr="00281428">
        <w:rPr>
          <w:rFonts w:eastAsia="Times New Roman"/>
          <w:szCs w:val="24"/>
        </w:rPr>
        <w:t>.</w:t>
      </w:r>
    </w:p>
    <w:p w14:paraId="1EBE1034" w14:textId="611B5C9B" w:rsidR="005D640A" w:rsidRPr="00281428" w:rsidRDefault="00E33621" w:rsidP="005D640A">
      <w:pPr>
        <w:rPr>
          <w:szCs w:val="20"/>
        </w:rPr>
      </w:pPr>
      <w:r w:rsidRPr="00281428">
        <w:rPr>
          <w:szCs w:val="20"/>
        </w:rPr>
        <w:t xml:space="preserve">Additional letters, presentation and data may have been submitted for consideration with this item.  Please refer to </w:t>
      </w:r>
      <w:hyperlink r:id="rId33" w:history="1">
        <w:r w:rsidR="008A6AE0" w:rsidRPr="00A766AF">
          <w:rPr>
            <w:rStyle w:val="Hyperlink"/>
            <w:noProof w:val="0"/>
            <w:color w:val="0000FF"/>
          </w:rPr>
          <w:t>https://www.ncwm.com/publication-16</w:t>
        </w:r>
      </w:hyperlink>
      <w:r w:rsidRPr="00281428">
        <w:rPr>
          <w:szCs w:val="20"/>
        </w:rPr>
        <w:t xml:space="preserve"> to review these documents</w:t>
      </w:r>
      <w:r w:rsidR="005D640A" w:rsidRPr="00281428">
        <w:rPr>
          <w:szCs w:val="20"/>
        </w:rPr>
        <w:t>.</w:t>
      </w:r>
    </w:p>
    <w:p w14:paraId="59B463A9" w14:textId="3538E8A6" w:rsidR="00E20DCB" w:rsidRPr="00281428" w:rsidRDefault="00E20DCB" w:rsidP="00E20DCB">
      <w:pPr>
        <w:pStyle w:val="Heading1"/>
        <w:keepNext w:val="0"/>
        <w:keepLines w:val="0"/>
      </w:pPr>
      <w:bookmarkStart w:id="145" w:name="_Toc65741451"/>
      <w:r w:rsidRPr="00281428">
        <w:lastRenderedPageBreak/>
        <w:t xml:space="preserve">ITEM Block </w:t>
      </w:r>
      <w:r w:rsidR="00FF7682" w:rsidRPr="00281428">
        <w:t>6</w:t>
      </w:r>
      <w:r w:rsidRPr="00281428">
        <w:t xml:space="preserve"> (B</w:t>
      </w:r>
      <w:r w:rsidR="00FF7682" w:rsidRPr="00281428">
        <w:t>6</w:t>
      </w:r>
      <w:r w:rsidRPr="00281428">
        <w:t>)</w:t>
      </w:r>
      <w:r w:rsidRPr="00281428">
        <w:tab/>
        <w:t>transmission Fluid</w:t>
      </w:r>
      <w:bookmarkEnd w:id="145"/>
      <w:r w:rsidRPr="00281428">
        <w:t xml:space="preserve"> </w:t>
      </w:r>
      <w:r w:rsidRPr="00281428" w:rsidDel="003F7F6D">
        <w:t xml:space="preserve"> </w:t>
      </w:r>
    </w:p>
    <w:p w14:paraId="78602607" w14:textId="149D8858" w:rsidR="00E20DCB" w:rsidRPr="00281428" w:rsidRDefault="00E20DCB" w:rsidP="00E20DCB">
      <w:pPr>
        <w:tabs>
          <w:tab w:val="left" w:pos="1440"/>
        </w:tabs>
        <w:spacing w:after="0"/>
        <w:ind w:left="1800" w:hanging="1800"/>
        <w:outlineLvl w:val="3"/>
        <w:rPr>
          <w:rFonts w:eastAsia="Times New Roman"/>
          <w:bCs/>
          <w:iCs/>
        </w:rPr>
      </w:pPr>
      <w:r w:rsidRPr="00281428">
        <w:rPr>
          <w:rFonts w:eastAsia="Times New Roman"/>
          <w:bCs/>
          <w:iCs/>
        </w:rPr>
        <w:t>B</w:t>
      </w:r>
      <w:r w:rsidR="00121994" w:rsidRPr="00281428">
        <w:rPr>
          <w:rFonts w:eastAsia="Times New Roman"/>
          <w:bCs/>
          <w:iCs/>
        </w:rPr>
        <w:t>6</w:t>
      </w:r>
      <w:r w:rsidRPr="00281428">
        <w:rPr>
          <w:rFonts w:eastAsia="Times New Roman"/>
          <w:bCs/>
          <w:iCs/>
        </w:rPr>
        <w:t>: MOS-21.1</w:t>
      </w:r>
      <w:r w:rsidRPr="00281428">
        <w:rPr>
          <w:rFonts w:eastAsia="Times New Roman"/>
          <w:bCs/>
          <w:iCs/>
        </w:rPr>
        <w:tab/>
      </w:r>
      <w:r w:rsidR="002B0241" w:rsidRPr="00281428">
        <w:rPr>
          <w:rFonts w:eastAsia="Times New Roman"/>
          <w:bCs/>
          <w:iCs/>
        </w:rPr>
        <w:t>A</w:t>
      </w:r>
      <w:r w:rsidRPr="00281428">
        <w:rPr>
          <w:rFonts w:eastAsia="Times New Roman"/>
          <w:bCs/>
          <w:iCs/>
        </w:rPr>
        <w:tab/>
        <w:t>Section 2.36.</w:t>
      </w:r>
      <w:r w:rsidR="00F01DA2" w:rsidRPr="00281428">
        <w:rPr>
          <w:rFonts w:eastAsia="Times New Roman"/>
          <w:bCs/>
          <w:iCs/>
        </w:rPr>
        <w:t>2.</w:t>
      </w:r>
      <w:r w:rsidRPr="00281428">
        <w:rPr>
          <w:rFonts w:eastAsia="Times New Roman"/>
          <w:bCs/>
          <w:iCs/>
        </w:rPr>
        <w:t xml:space="preserve"> </w:t>
      </w:r>
      <w:r w:rsidR="00F01DA2" w:rsidRPr="00281428">
        <w:rPr>
          <w:rFonts w:eastAsia="Times New Roman"/>
          <w:bCs/>
          <w:iCs/>
        </w:rPr>
        <w:t xml:space="preserve">Labeling and Identification of </w:t>
      </w:r>
      <w:r w:rsidRPr="00281428">
        <w:rPr>
          <w:rFonts w:eastAsia="Times New Roman"/>
          <w:bCs/>
          <w:iCs/>
        </w:rPr>
        <w:t>Transmission Fluid</w:t>
      </w:r>
    </w:p>
    <w:p w14:paraId="1B9FE05E" w14:textId="7A845AE0" w:rsidR="00E20DCB" w:rsidRPr="00281428" w:rsidRDefault="00E20DCB" w:rsidP="00C0568F">
      <w:pPr>
        <w:tabs>
          <w:tab w:val="left" w:pos="446"/>
          <w:tab w:val="left" w:pos="1440"/>
        </w:tabs>
        <w:ind w:left="1800" w:hanging="1800"/>
        <w:outlineLvl w:val="3"/>
        <w:rPr>
          <w:rFonts w:eastAsia="Times New Roman"/>
          <w:bCs/>
          <w:iCs/>
        </w:rPr>
      </w:pPr>
      <w:r w:rsidRPr="00281428">
        <w:rPr>
          <w:rFonts w:eastAsia="Times New Roman"/>
          <w:bCs/>
          <w:iCs/>
        </w:rPr>
        <w:t>B</w:t>
      </w:r>
      <w:r w:rsidR="00121994" w:rsidRPr="00281428">
        <w:rPr>
          <w:rFonts w:eastAsia="Times New Roman"/>
          <w:bCs/>
          <w:iCs/>
        </w:rPr>
        <w:t>6</w:t>
      </w:r>
      <w:r w:rsidRPr="00281428">
        <w:rPr>
          <w:rFonts w:eastAsia="Times New Roman"/>
          <w:bCs/>
          <w:iCs/>
        </w:rPr>
        <w:t xml:space="preserve">: </w:t>
      </w:r>
      <w:r w:rsidR="00F01DA2" w:rsidRPr="00281428">
        <w:rPr>
          <w:rFonts w:eastAsia="Times New Roman"/>
          <w:bCs/>
          <w:iCs/>
        </w:rPr>
        <w:t>FLR-21.</w:t>
      </w:r>
      <w:r w:rsidR="00CF3F44" w:rsidRPr="00281428">
        <w:rPr>
          <w:rFonts w:eastAsia="Times New Roman"/>
          <w:bCs/>
          <w:iCs/>
        </w:rPr>
        <w:t>2</w:t>
      </w:r>
      <w:r w:rsidRPr="00281428">
        <w:rPr>
          <w:rFonts w:eastAsia="Times New Roman"/>
          <w:bCs/>
          <w:iCs/>
        </w:rPr>
        <w:tab/>
      </w:r>
      <w:r w:rsidR="002B0241" w:rsidRPr="00281428">
        <w:rPr>
          <w:rFonts w:eastAsia="Times New Roman"/>
          <w:bCs/>
          <w:iCs/>
        </w:rPr>
        <w:t>A</w:t>
      </w:r>
      <w:r w:rsidRPr="00281428">
        <w:rPr>
          <w:rFonts w:eastAsia="Times New Roman"/>
          <w:bCs/>
          <w:iCs/>
        </w:rPr>
        <w:tab/>
        <w:t xml:space="preserve">Section </w:t>
      </w:r>
      <w:r w:rsidR="00F01DA2" w:rsidRPr="00281428">
        <w:rPr>
          <w:rFonts w:eastAsia="Times New Roman"/>
          <w:bCs/>
          <w:iCs/>
        </w:rPr>
        <w:t>3.14.1</w:t>
      </w:r>
      <w:r w:rsidRPr="00281428">
        <w:rPr>
          <w:rFonts w:eastAsia="Times New Roman"/>
          <w:bCs/>
          <w:iCs/>
        </w:rPr>
        <w:t xml:space="preserve">. </w:t>
      </w:r>
      <w:r w:rsidR="00F01DA2" w:rsidRPr="00281428">
        <w:rPr>
          <w:rFonts w:eastAsia="Times New Roman"/>
          <w:bCs/>
          <w:iCs/>
        </w:rPr>
        <w:t>Labeling and Identification of Transmission Fluid</w:t>
      </w:r>
    </w:p>
    <w:p w14:paraId="0C42E053" w14:textId="77777777" w:rsidR="00C0568F" w:rsidRPr="00281428" w:rsidRDefault="00C0568F" w:rsidP="00C0568F">
      <w:pPr>
        <w:spacing w:after="0"/>
        <w:rPr>
          <w:b/>
        </w:rPr>
      </w:pPr>
      <w:r w:rsidRPr="00281428">
        <w:rPr>
          <w:b/>
        </w:rPr>
        <w:t>Source:</w:t>
      </w:r>
    </w:p>
    <w:p w14:paraId="7CA47F94" w14:textId="77777777" w:rsidR="00C0568F" w:rsidRPr="00281428" w:rsidRDefault="00C0568F" w:rsidP="00C0568F">
      <w:r w:rsidRPr="00281428">
        <w:rPr>
          <w:szCs w:val="20"/>
        </w:rPr>
        <w:t>Missouri Department of Agriculture</w:t>
      </w:r>
      <w:r w:rsidRPr="00281428">
        <w:t xml:space="preserve"> </w:t>
      </w:r>
    </w:p>
    <w:p w14:paraId="4DBF5025" w14:textId="77777777" w:rsidR="00C0568F" w:rsidRPr="00281428" w:rsidRDefault="00C0568F" w:rsidP="00C0568F">
      <w:pPr>
        <w:spacing w:after="0"/>
        <w:rPr>
          <w:b/>
        </w:rPr>
      </w:pPr>
      <w:r w:rsidRPr="00281428">
        <w:rPr>
          <w:b/>
        </w:rPr>
        <w:t>Purpose:</w:t>
      </w:r>
    </w:p>
    <w:p w14:paraId="62881F70" w14:textId="3F726D30" w:rsidR="00C0568F" w:rsidRPr="00281428" w:rsidRDefault="00C0568F" w:rsidP="00C0568F">
      <w:pPr>
        <w:tabs>
          <w:tab w:val="left" w:pos="446"/>
          <w:tab w:val="left" w:pos="1440"/>
        </w:tabs>
        <w:spacing w:after="0"/>
        <w:ind w:left="1800" w:hanging="1800"/>
        <w:outlineLvl w:val="3"/>
        <w:rPr>
          <w:rFonts w:eastAsia="Times New Roman"/>
          <w:bCs/>
          <w:iCs/>
        </w:rPr>
      </w:pPr>
      <w:r w:rsidRPr="00281428">
        <w:rPr>
          <w:szCs w:val="24"/>
        </w:rPr>
        <w:t>Protect consumers by providing a cautionary statement of package labels of obsolete transmission fluids.</w:t>
      </w:r>
    </w:p>
    <w:p w14:paraId="43A13F30" w14:textId="4B5F132A" w:rsidR="00E20DCB" w:rsidRPr="00281428" w:rsidRDefault="00E20DCB" w:rsidP="001903E1">
      <w:pPr>
        <w:pStyle w:val="ItemHeading"/>
        <w:tabs>
          <w:tab w:val="clear" w:pos="900"/>
          <w:tab w:val="left" w:pos="1710"/>
        </w:tabs>
      </w:pPr>
      <w:bookmarkStart w:id="146" w:name="_Toc65741452"/>
      <w:r w:rsidRPr="00281428">
        <w:t>B</w:t>
      </w:r>
      <w:r w:rsidR="00FF7682" w:rsidRPr="00281428">
        <w:t>6</w:t>
      </w:r>
      <w:r w:rsidRPr="00281428">
        <w:t>: MOS-21.1.</w:t>
      </w:r>
      <w:r w:rsidRPr="00281428">
        <w:tab/>
      </w:r>
      <w:r w:rsidR="001903E1" w:rsidRPr="00281428">
        <w:t>A</w:t>
      </w:r>
      <w:r w:rsidRPr="00281428">
        <w:tab/>
        <w:t>Section 2.36.</w:t>
      </w:r>
      <w:r w:rsidR="00F01DA2" w:rsidRPr="00281428">
        <w:t>2. Labeling and Identification of</w:t>
      </w:r>
      <w:r w:rsidRPr="00281428">
        <w:t xml:space="preserve"> Transmission Fluid</w:t>
      </w:r>
      <w:bookmarkEnd w:id="146"/>
    </w:p>
    <w:p w14:paraId="1C01FC97" w14:textId="77777777" w:rsidR="00E20DCB" w:rsidRPr="00281428" w:rsidRDefault="00E20DCB" w:rsidP="00E20DCB">
      <w:pPr>
        <w:pStyle w:val="I-Normal1indent"/>
        <w:spacing w:after="0"/>
        <w:ind w:left="0"/>
        <w:rPr>
          <w:b/>
          <w:szCs w:val="20"/>
        </w:rPr>
      </w:pPr>
      <w:r w:rsidRPr="00281428">
        <w:rPr>
          <w:b/>
          <w:szCs w:val="20"/>
        </w:rPr>
        <w:t>Item Under Consideration:</w:t>
      </w:r>
    </w:p>
    <w:p w14:paraId="1343F2C4" w14:textId="25907516" w:rsidR="00E20DCB" w:rsidRPr="00281428" w:rsidRDefault="00E20DCB" w:rsidP="00E20DCB">
      <w:r w:rsidRPr="00281428">
        <w:t xml:space="preserve">Amend Handbook 130, </w:t>
      </w:r>
      <w:r w:rsidR="00F01DA2" w:rsidRPr="00281428">
        <w:t>Uniform Regulation for the Method of Sale of Commodities</w:t>
      </w:r>
      <w:r w:rsidR="006A4FAD" w:rsidRPr="00281428">
        <w:t>,</w:t>
      </w:r>
      <w:r w:rsidR="00F01DA2" w:rsidRPr="00281428">
        <w:t xml:space="preserve"> as follows</w:t>
      </w:r>
      <w:r w:rsidRPr="00281428">
        <w:t>:</w:t>
      </w:r>
    </w:p>
    <w:p w14:paraId="515C53D2" w14:textId="4B8DE015" w:rsidR="00F01DA2" w:rsidRPr="00281428" w:rsidRDefault="00F01DA2" w:rsidP="00F01DA2">
      <w:pPr>
        <w:keepNext/>
        <w:keepLines/>
        <w:widowControl w:val="0"/>
        <w:spacing w:after="0"/>
        <w:ind w:left="360"/>
      </w:pPr>
      <w:bookmarkStart w:id="147" w:name="_Toc17884990"/>
      <w:r w:rsidRPr="00281428">
        <w:rPr>
          <w:rStyle w:val="UniformLevel3Char"/>
          <w:rFonts w:eastAsia="Calibri"/>
          <w:b/>
        </w:rPr>
        <w:t>2.36.2.  Labeling and Identification of Transmission Fluid.</w:t>
      </w:r>
      <w:bookmarkEnd w:id="147"/>
      <w:r w:rsidRPr="00281428">
        <w:t xml:space="preserve"> – Transmission fluid shall be labeled or identified as described below.</w:t>
      </w:r>
    </w:p>
    <w:p w14:paraId="5E088437" w14:textId="77777777" w:rsidR="00F01DA2" w:rsidRPr="00281428" w:rsidRDefault="00F01DA2" w:rsidP="00F01DA2">
      <w:pPr>
        <w:keepNext/>
        <w:keepLines/>
        <w:widowControl w:val="0"/>
        <w:spacing w:before="60"/>
        <w:ind w:left="360"/>
      </w:pPr>
      <w:r w:rsidRPr="00281428">
        <w:t>(Added 2017)</w:t>
      </w:r>
    </w:p>
    <w:p w14:paraId="07C52586" w14:textId="429F4B72" w:rsidR="00F01DA2" w:rsidRPr="00281428" w:rsidRDefault="00F01DA2" w:rsidP="00F01DA2">
      <w:pPr>
        <w:ind w:left="720"/>
      </w:pPr>
      <w:bookmarkStart w:id="148" w:name="_Toc17884991"/>
      <w:r w:rsidRPr="00281428">
        <w:rPr>
          <w:rStyle w:val="UniformLevel4Char"/>
          <w:rFonts w:ascii="Times New Roman" w:eastAsia="Calibri" w:hAnsi="Times New Roman" w:cs="Times New Roman"/>
          <w:b/>
          <w:bCs/>
          <w:color w:val="auto"/>
        </w:rPr>
        <w:t>2.36.2.1.  Container Labeling.</w:t>
      </w:r>
      <w:bookmarkEnd w:id="148"/>
      <w:r w:rsidRPr="00281428">
        <w:rPr>
          <w:b/>
        </w:rPr>
        <w:t xml:space="preserve"> </w:t>
      </w:r>
      <w:r w:rsidRPr="00281428">
        <w:t xml:space="preserve">– The label on a container of transmission fluid shall not contain any information that is false or misleading.  Containers include bottles, cans, multi-quart or liter containers, pails, kegs, drums, and intermediate bulk containers (IBCs).  In addition, each container of transmission fluid shall be labeled with the following: </w:t>
      </w:r>
    </w:p>
    <w:p w14:paraId="313D3C9A" w14:textId="77777777" w:rsidR="00F01DA2" w:rsidRPr="00281428" w:rsidRDefault="00F01DA2" w:rsidP="002F0196">
      <w:pPr>
        <w:numPr>
          <w:ilvl w:val="0"/>
          <w:numId w:val="100"/>
        </w:numPr>
        <w:ind w:left="1440"/>
        <w:rPr>
          <w:szCs w:val="20"/>
        </w:rPr>
      </w:pPr>
      <w:r w:rsidRPr="00281428">
        <w:rPr>
          <w:szCs w:val="20"/>
        </w:rPr>
        <w:t xml:space="preserve">the brand </w:t>
      </w:r>
      <w:proofErr w:type="gramStart"/>
      <w:r w:rsidRPr="00281428">
        <w:rPr>
          <w:szCs w:val="20"/>
        </w:rPr>
        <w:t>name;</w:t>
      </w:r>
      <w:proofErr w:type="gramEnd"/>
      <w:r w:rsidRPr="00281428">
        <w:rPr>
          <w:szCs w:val="20"/>
        </w:rPr>
        <w:t xml:space="preserve"> </w:t>
      </w:r>
    </w:p>
    <w:p w14:paraId="154ABF42" w14:textId="77777777" w:rsidR="00F01DA2" w:rsidRPr="00281428" w:rsidRDefault="00F01DA2" w:rsidP="002F0196">
      <w:pPr>
        <w:numPr>
          <w:ilvl w:val="0"/>
          <w:numId w:val="100"/>
        </w:numPr>
        <w:ind w:left="1440"/>
        <w:rPr>
          <w:szCs w:val="20"/>
        </w:rPr>
      </w:pPr>
      <w:r w:rsidRPr="00281428">
        <w:rPr>
          <w:szCs w:val="20"/>
        </w:rPr>
        <w:t xml:space="preserve">the name and place of business of the manufacturer, packer, seller, or </w:t>
      </w:r>
      <w:proofErr w:type="gramStart"/>
      <w:r w:rsidRPr="00281428">
        <w:rPr>
          <w:szCs w:val="20"/>
        </w:rPr>
        <w:t>distributor;</w:t>
      </w:r>
      <w:proofErr w:type="gramEnd"/>
      <w:r w:rsidRPr="00281428">
        <w:rPr>
          <w:szCs w:val="20"/>
        </w:rPr>
        <w:t xml:space="preserve"> </w:t>
      </w:r>
    </w:p>
    <w:p w14:paraId="6F97FC3F" w14:textId="77777777" w:rsidR="00F01DA2" w:rsidRPr="00281428" w:rsidRDefault="00F01DA2" w:rsidP="002F0196">
      <w:pPr>
        <w:numPr>
          <w:ilvl w:val="0"/>
          <w:numId w:val="100"/>
        </w:numPr>
        <w:ind w:left="1440"/>
        <w:rPr>
          <w:szCs w:val="20"/>
        </w:rPr>
      </w:pPr>
      <w:r w:rsidRPr="00281428">
        <w:rPr>
          <w:szCs w:val="20"/>
        </w:rPr>
        <w:t>the words “Transmission Fluid,” which may be incorporated into a more specific description of transmission type such as “Automatic Transmission Fluid” or “Continuously Variable Transmission Fluid</w:t>
      </w:r>
      <w:proofErr w:type="gramStart"/>
      <w:r w:rsidRPr="00281428">
        <w:rPr>
          <w:szCs w:val="20"/>
        </w:rPr>
        <w:t>”;</w:t>
      </w:r>
      <w:proofErr w:type="gramEnd"/>
      <w:r w:rsidRPr="00281428">
        <w:rPr>
          <w:szCs w:val="20"/>
        </w:rPr>
        <w:t xml:space="preserve"> </w:t>
      </w:r>
    </w:p>
    <w:p w14:paraId="34B502B6" w14:textId="77777777" w:rsidR="00F01DA2" w:rsidRPr="00281428" w:rsidRDefault="00F01DA2" w:rsidP="002F0196">
      <w:pPr>
        <w:numPr>
          <w:ilvl w:val="0"/>
          <w:numId w:val="100"/>
        </w:numPr>
        <w:ind w:left="1440"/>
        <w:rPr>
          <w:szCs w:val="20"/>
        </w:rPr>
      </w:pPr>
      <w:r w:rsidRPr="00281428">
        <w:rPr>
          <w:szCs w:val="20"/>
        </w:rPr>
        <w:t xml:space="preserve">the primary performance claim or claims met by the fluid and reference to where any supplemental claims may be viewed (for example, website reference).  Performance claims </w:t>
      </w:r>
      <w:r w:rsidRPr="00281428">
        <w:rPr>
          <w:color w:val="000000"/>
          <w:szCs w:val="20"/>
        </w:rPr>
        <w:t xml:space="preserve">include but are not limited to those </w:t>
      </w:r>
      <w:r w:rsidRPr="00281428">
        <w:rPr>
          <w:szCs w:val="20"/>
        </w:rPr>
        <w:t>set by original equipment manufacturers and standards setting organizations such as SAE and JASO and are acknowledged by reference; and</w:t>
      </w:r>
      <w:r w:rsidRPr="00281428">
        <w:rPr>
          <w:strike/>
          <w:szCs w:val="20"/>
        </w:rPr>
        <w:t xml:space="preserve"> </w:t>
      </w:r>
    </w:p>
    <w:p w14:paraId="1F35C37B" w14:textId="46066441" w:rsidR="00F01DA2" w:rsidRPr="00281428" w:rsidRDefault="00F01DA2" w:rsidP="002F0196">
      <w:pPr>
        <w:keepLines/>
        <w:numPr>
          <w:ilvl w:val="0"/>
          <w:numId w:val="100"/>
        </w:numPr>
        <w:ind w:left="1440"/>
        <w:rPr>
          <w:b/>
          <w:szCs w:val="20"/>
        </w:rPr>
      </w:pPr>
      <w:r w:rsidRPr="00281428">
        <w:rPr>
          <w:szCs w:val="20"/>
        </w:rPr>
        <w:t xml:space="preserve">an accurate statement of the quantity of the contents in terms of liquid measure. </w:t>
      </w:r>
    </w:p>
    <w:p w14:paraId="29A75664" w14:textId="4DA32230" w:rsidR="00C0568F" w:rsidRPr="00281428" w:rsidRDefault="00F01DA2" w:rsidP="002F0196">
      <w:pPr>
        <w:pStyle w:val="ListParagraph"/>
        <w:numPr>
          <w:ilvl w:val="0"/>
          <w:numId w:val="100"/>
        </w:numPr>
        <w:ind w:left="1440"/>
        <w:rPr>
          <w:b/>
          <w:szCs w:val="20"/>
          <w:u w:val="single"/>
        </w:rPr>
      </w:pPr>
      <w:bookmarkStart w:id="149" w:name="_Hlk65641935"/>
      <w:bookmarkStart w:id="150" w:name="_Hlk61548173"/>
      <w:r w:rsidRPr="00281428">
        <w:rPr>
          <w:b/>
          <w:szCs w:val="20"/>
          <w:u w:val="single"/>
        </w:rPr>
        <w:t xml:space="preserve">Any obsolete equipment manufacturer specifications shall be clearly identified as “obsolete” and accompanied by the following </w:t>
      </w:r>
      <w:r w:rsidR="009049C3" w:rsidRPr="00281428">
        <w:rPr>
          <w:b/>
          <w:szCs w:val="20"/>
          <w:u w:val="single"/>
        </w:rPr>
        <w:t>cautionary statement</w:t>
      </w:r>
      <w:r w:rsidRPr="00281428">
        <w:rPr>
          <w:b/>
          <w:szCs w:val="20"/>
          <w:u w:val="single"/>
        </w:rPr>
        <w:t xml:space="preserve"> on the princip</w:t>
      </w:r>
      <w:r w:rsidR="009049C3" w:rsidRPr="00281428">
        <w:rPr>
          <w:b/>
          <w:szCs w:val="20"/>
          <w:u w:val="single"/>
        </w:rPr>
        <w:t>a</w:t>
      </w:r>
      <w:r w:rsidRPr="00281428">
        <w:rPr>
          <w:b/>
          <w:szCs w:val="20"/>
          <w:u w:val="single"/>
        </w:rPr>
        <w:t xml:space="preserve">l display </w:t>
      </w:r>
      <w:r w:rsidR="009049C3" w:rsidRPr="00281428">
        <w:rPr>
          <w:b/>
          <w:szCs w:val="20"/>
          <w:u w:val="single"/>
        </w:rPr>
        <w:t xml:space="preserve">in accordance with the Uniform Packaging and Labeling Regulation, </w:t>
      </w:r>
      <w:r w:rsidR="007C6B50" w:rsidRPr="00281428">
        <w:rPr>
          <w:b/>
          <w:szCs w:val="20"/>
          <w:u w:val="single"/>
        </w:rPr>
        <w:t>Section 8.  Prominence and Placement:  Consumer Packages and Section 9. Prominence and Placement: Non-Consumer Packages.</w:t>
      </w:r>
    </w:p>
    <w:bookmarkEnd w:id="149"/>
    <w:p w14:paraId="553E5344" w14:textId="2D44B4BE" w:rsidR="00C0568F" w:rsidRPr="00281428" w:rsidRDefault="00F01DA2" w:rsidP="009049C3">
      <w:pPr>
        <w:pStyle w:val="ListParagraph"/>
        <w:ind w:left="1440"/>
        <w:rPr>
          <w:b/>
          <w:szCs w:val="20"/>
          <w:u w:val="single"/>
        </w:rPr>
      </w:pPr>
      <w:r w:rsidRPr="00281428">
        <w:rPr>
          <w:b/>
          <w:szCs w:val="20"/>
          <w:u w:val="single"/>
        </w:rPr>
        <w:t xml:space="preserve">Caution:  Some of the specifications are no longer deemed active by the original equipment manufacturer. </w:t>
      </w:r>
      <w:r w:rsidR="009049C3" w:rsidRPr="00281428">
        <w:rPr>
          <w:b/>
          <w:szCs w:val="20"/>
          <w:u w:val="single"/>
        </w:rPr>
        <w:t xml:space="preserve"> </w:t>
      </w:r>
      <w:r w:rsidRPr="00281428">
        <w:rPr>
          <w:b/>
          <w:szCs w:val="20"/>
          <w:u w:val="single"/>
        </w:rPr>
        <w:t xml:space="preserve">Significant harm to the </w:t>
      </w:r>
      <w:r w:rsidR="00316FEF" w:rsidRPr="00281428">
        <w:rPr>
          <w:b/>
          <w:szCs w:val="20"/>
          <w:u w:val="single"/>
        </w:rPr>
        <w:t xml:space="preserve">transmission </w:t>
      </w:r>
      <w:r w:rsidRPr="00281428">
        <w:rPr>
          <w:b/>
          <w:szCs w:val="20"/>
          <w:u w:val="single"/>
        </w:rPr>
        <w:t xml:space="preserve">is possible when using in applications in which it is not intended.  Always refer to your vehicle owner’s manual for proper transmission fluids. </w:t>
      </w:r>
    </w:p>
    <w:p w14:paraId="17BC9F80" w14:textId="3FD6AE19" w:rsidR="00F01DA2" w:rsidRPr="00281428" w:rsidRDefault="00F01DA2" w:rsidP="00FC49B1">
      <w:pPr>
        <w:pStyle w:val="ListParagraph"/>
        <w:spacing w:before="40" w:after="0"/>
        <w:ind w:left="1440"/>
        <w:rPr>
          <w:b/>
          <w:szCs w:val="20"/>
          <w:u w:val="single"/>
        </w:rPr>
      </w:pPr>
      <w:r w:rsidRPr="00281428">
        <w:rPr>
          <w:b/>
          <w:szCs w:val="20"/>
          <w:u w:val="single"/>
        </w:rPr>
        <w:t xml:space="preserve">The above </w:t>
      </w:r>
      <w:r w:rsidRPr="00281428">
        <w:rPr>
          <w:b/>
          <w:strike/>
          <w:szCs w:val="20"/>
        </w:rPr>
        <w:t>warning</w:t>
      </w:r>
      <w:r w:rsidR="00316FEF" w:rsidRPr="00281428">
        <w:rPr>
          <w:b/>
          <w:strike/>
          <w:szCs w:val="20"/>
        </w:rPr>
        <w:t xml:space="preserve"> </w:t>
      </w:r>
      <w:r w:rsidR="00316FEF" w:rsidRPr="00281428">
        <w:rPr>
          <w:b/>
          <w:szCs w:val="20"/>
          <w:u w:val="single"/>
        </w:rPr>
        <w:t xml:space="preserve">cautionary statement </w:t>
      </w:r>
      <w:r w:rsidRPr="00281428">
        <w:rPr>
          <w:b/>
          <w:szCs w:val="20"/>
          <w:u w:val="single"/>
        </w:rPr>
        <w:t>is not required if the fluid claims to meet current original equipment manufacturer’s specifications and refers to thereby preceding specifications</w:t>
      </w:r>
    </w:p>
    <w:p w14:paraId="7E40E59B" w14:textId="10561DF6" w:rsidR="00F01DA2" w:rsidRPr="00281428" w:rsidRDefault="00F01DA2" w:rsidP="00FC49B1">
      <w:pPr>
        <w:pStyle w:val="ListParagraph"/>
        <w:spacing w:after="60"/>
        <w:ind w:left="1440"/>
        <w:rPr>
          <w:b/>
          <w:szCs w:val="20"/>
          <w:u w:val="single"/>
        </w:rPr>
      </w:pPr>
      <w:r w:rsidRPr="00281428">
        <w:rPr>
          <w:b/>
          <w:szCs w:val="20"/>
          <w:u w:val="single"/>
        </w:rPr>
        <w:t>(Added 20XX)</w:t>
      </w:r>
    </w:p>
    <w:bookmarkEnd w:id="150"/>
    <w:p w14:paraId="63FAFDD7" w14:textId="10319325" w:rsidR="00E20DCB" w:rsidRPr="00281428" w:rsidRDefault="00F01DA2" w:rsidP="00FC49B1">
      <w:pPr>
        <w:ind w:left="360"/>
        <w:rPr>
          <w:szCs w:val="20"/>
        </w:rPr>
      </w:pPr>
      <w:r w:rsidRPr="00281428">
        <w:rPr>
          <w:szCs w:val="20"/>
        </w:rPr>
        <w:lastRenderedPageBreak/>
        <w:t>(Added 2017</w:t>
      </w:r>
      <w:r w:rsidR="009049C3" w:rsidRPr="00281428">
        <w:rPr>
          <w:szCs w:val="20"/>
        </w:rPr>
        <w:t xml:space="preserve"> </w:t>
      </w:r>
      <w:r w:rsidR="009049C3" w:rsidRPr="00281428">
        <w:rPr>
          <w:b/>
          <w:bCs/>
          <w:szCs w:val="20"/>
          <w:u w:val="single"/>
        </w:rPr>
        <w:t>and Amended 20XX</w:t>
      </w:r>
      <w:r w:rsidRPr="00281428">
        <w:rPr>
          <w:szCs w:val="20"/>
        </w:rPr>
        <w:t>)</w:t>
      </w:r>
    </w:p>
    <w:p w14:paraId="5B5D628D" w14:textId="544105B2" w:rsidR="005A6E90" w:rsidRPr="00281428" w:rsidRDefault="005A6E90" w:rsidP="00CF4099">
      <w:pPr>
        <w:pStyle w:val="ItemHeading"/>
        <w:keepNext w:val="0"/>
        <w:keepLines w:val="0"/>
        <w:tabs>
          <w:tab w:val="clear" w:pos="900"/>
          <w:tab w:val="left" w:pos="1710"/>
        </w:tabs>
      </w:pPr>
      <w:bookmarkStart w:id="151" w:name="_Toc65741453"/>
      <w:r w:rsidRPr="00281428">
        <w:t>B</w:t>
      </w:r>
      <w:r w:rsidR="00FF7682" w:rsidRPr="00281428">
        <w:t>6</w:t>
      </w:r>
      <w:r w:rsidRPr="00281428">
        <w:t>: FLR-21.2.</w:t>
      </w:r>
      <w:r w:rsidRPr="00281428">
        <w:tab/>
      </w:r>
      <w:r w:rsidR="003D73FE" w:rsidRPr="00281428">
        <w:t>A</w:t>
      </w:r>
      <w:r w:rsidRPr="00281428">
        <w:tab/>
        <w:t>Section 3.14.1. Labeling and Identification of Transmission Fluid</w:t>
      </w:r>
      <w:bookmarkEnd w:id="151"/>
    </w:p>
    <w:p w14:paraId="1E855DCE" w14:textId="77777777" w:rsidR="005A6E90" w:rsidRPr="00281428" w:rsidRDefault="005A6E90" w:rsidP="00FC49B1">
      <w:pPr>
        <w:pStyle w:val="I-Normal1indent"/>
        <w:spacing w:after="0"/>
        <w:ind w:left="0"/>
        <w:rPr>
          <w:b/>
          <w:szCs w:val="20"/>
        </w:rPr>
      </w:pPr>
      <w:r w:rsidRPr="00281428">
        <w:rPr>
          <w:b/>
          <w:szCs w:val="20"/>
        </w:rPr>
        <w:t>Item Under Consideration:</w:t>
      </w:r>
    </w:p>
    <w:p w14:paraId="61FD72EE" w14:textId="31E89A2B" w:rsidR="005A6E90" w:rsidRPr="00281428" w:rsidRDefault="005A6E90" w:rsidP="00FC49B1">
      <w:r w:rsidRPr="00281428">
        <w:t>Amend Handbook 130, Uniform Fuels and Automotive Lubricants Regulation</w:t>
      </w:r>
      <w:r w:rsidR="006A4FAD" w:rsidRPr="00281428">
        <w:t>,</w:t>
      </w:r>
      <w:r w:rsidRPr="00281428">
        <w:t xml:space="preserve"> as follows</w:t>
      </w:r>
    </w:p>
    <w:p w14:paraId="2383C83F" w14:textId="6068C2BF" w:rsidR="005A6E90" w:rsidRPr="00281428" w:rsidRDefault="005A6E90" w:rsidP="00FC49B1">
      <w:pPr>
        <w:tabs>
          <w:tab w:val="left" w:pos="1080"/>
        </w:tabs>
        <w:spacing w:after="0"/>
        <w:ind w:left="360"/>
      </w:pPr>
      <w:bookmarkStart w:id="152" w:name="_Toc20396822"/>
      <w:r w:rsidRPr="00281428">
        <w:rPr>
          <w:rStyle w:val="EngineFuelTOC3rdLevelChar"/>
          <w:rFonts w:eastAsia="Calibri"/>
          <w:bCs w:val="0"/>
        </w:rPr>
        <w:t>3.14.1.</w:t>
      </w:r>
      <w:r w:rsidRPr="00281428">
        <w:rPr>
          <w:rStyle w:val="EngineFuelTOC3rdLevelChar"/>
          <w:rFonts w:eastAsia="Calibri"/>
          <w:bCs w:val="0"/>
        </w:rPr>
        <w:tab/>
        <w:t>Labeling and Identification of Transmission Fluid</w:t>
      </w:r>
      <w:r w:rsidRPr="00281428">
        <w:rPr>
          <w:rStyle w:val="EngineFuelTOC3rdLevelChar"/>
          <w:rFonts w:eastAsia="Calibri"/>
          <w:b w:val="0"/>
        </w:rPr>
        <w:t>.</w:t>
      </w:r>
      <w:bookmarkEnd w:id="152"/>
      <w:r w:rsidRPr="00281428">
        <w:t xml:space="preserve"> – Transmission fluid shall be labeled or identified as described below</w:t>
      </w:r>
    </w:p>
    <w:p w14:paraId="11A5E2EB" w14:textId="77777777" w:rsidR="005A6E90" w:rsidRPr="00281428" w:rsidRDefault="005A6E90" w:rsidP="00FC49B1">
      <w:pPr>
        <w:spacing w:before="60"/>
        <w:ind w:left="360"/>
      </w:pPr>
      <w:r w:rsidRPr="00281428">
        <w:t>(Added 2017)</w:t>
      </w:r>
    </w:p>
    <w:p w14:paraId="23FF1688" w14:textId="2E040835" w:rsidR="005A6E90" w:rsidRPr="00281428" w:rsidRDefault="005A6E90" w:rsidP="00FC49B1">
      <w:pPr>
        <w:tabs>
          <w:tab w:val="left" w:pos="1080"/>
          <w:tab w:val="left" w:pos="1620"/>
        </w:tabs>
        <w:ind w:left="720"/>
        <w:rPr>
          <w:szCs w:val="20"/>
        </w:rPr>
      </w:pPr>
      <w:bookmarkStart w:id="153" w:name="_Toc20396823"/>
      <w:r w:rsidRPr="00281428">
        <w:rPr>
          <w:rStyle w:val="EngineFuelTOC4thLevelChar"/>
          <w:rFonts w:eastAsia="Calibri"/>
          <w:bCs w:val="0"/>
        </w:rPr>
        <w:t>3.14.1.1.</w:t>
      </w:r>
      <w:r w:rsidRPr="00281428">
        <w:rPr>
          <w:rStyle w:val="EngineFuelTOC4thLevelChar"/>
          <w:rFonts w:eastAsia="Calibri"/>
          <w:bCs w:val="0"/>
        </w:rPr>
        <w:tab/>
        <w:t>Container Labeling</w:t>
      </w:r>
      <w:r w:rsidRPr="00281428">
        <w:rPr>
          <w:rStyle w:val="EngineFuelTOC4thLevelChar"/>
          <w:rFonts w:eastAsia="Calibri"/>
          <w:b w:val="0"/>
        </w:rPr>
        <w:t>.</w:t>
      </w:r>
      <w:bookmarkEnd w:id="153"/>
      <w:r w:rsidRPr="00281428">
        <w:t xml:space="preserve"> – </w:t>
      </w:r>
      <w:r w:rsidRPr="00281428">
        <w:rPr>
          <w:szCs w:val="20"/>
        </w:rPr>
        <w:t>The label on a container of transmission fluid shall not contain any information that is false or misleading.  Containers include bottles, cans, multi-quart or liter containers, pails, kegs, drums, and intermediate bulk containers (IBCs).</w:t>
      </w:r>
      <w:r w:rsidRPr="00281428">
        <w:rPr>
          <w:b/>
          <w:szCs w:val="20"/>
        </w:rPr>
        <w:t xml:space="preserve">  </w:t>
      </w:r>
      <w:r w:rsidRPr="00281428">
        <w:rPr>
          <w:szCs w:val="20"/>
        </w:rPr>
        <w:t>In addition, each container of transmission fluid shall be labeled with the following:</w:t>
      </w:r>
    </w:p>
    <w:p w14:paraId="0C102BFD" w14:textId="77777777" w:rsidR="005A6E90" w:rsidRPr="00281428" w:rsidRDefault="005A6E90" w:rsidP="005A6E90">
      <w:pPr>
        <w:ind w:left="1440" w:hanging="360"/>
      </w:pPr>
      <w:r w:rsidRPr="00281428">
        <w:t>(a)</w:t>
      </w:r>
      <w:r w:rsidRPr="00281428">
        <w:tab/>
        <w:t xml:space="preserve">the brand </w:t>
      </w:r>
      <w:proofErr w:type="gramStart"/>
      <w:r w:rsidRPr="00281428">
        <w:t>name;</w:t>
      </w:r>
      <w:proofErr w:type="gramEnd"/>
    </w:p>
    <w:p w14:paraId="63742E73" w14:textId="77777777" w:rsidR="005A6E90" w:rsidRPr="00281428" w:rsidRDefault="005A6E90" w:rsidP="005A6E90">
      <w:pPr>
        <w:ind w:left="1440" w:hanging="360"/>
      </w:pPr>
      <w:r w:rsidRPr="00281428">
        <w:t>(b)</w:t>
      </w:r>
      <w:r w:rsidRPr="00281428">
        <w:tab/>
        <w:t xml:space="preserve">the name and place of business of the manufacturer, packer, seller, or </w:t>
      </w:r>
      <w:proofErr w:type="gramStart"/>
      <w:r w:rsidRPr="00281428">
        <w:t>distributor;</w:t>
      </w:r>
      <w:proofErr w:type="gramEnd"/>
    </w:p>
    <w:p w14:paraId="7B26CBB0" w14:textId="77777777" w:rsidR="005A6E90" w:rsidRPr="00281428" w:rsidRDefault="005A6E90" w:rsidP="005A6E90">
      <w:pPr>
        <w:ind w:left="1440" w:hanging="360"/>
      </w:pPr>
      <w:r w:rsidRPr="00281428">
        <w:t>(c)</w:t>
      </w:r>
      <w:r w:rsidRPr="00281428">
        <w:tab/>
        <w:t>the words “Transmission Fluid,” which may be incorporated into a more specific description of transmission type such as “Automatic Transmission Fluid” or “Continuously Variable Transmission Fluid</w:t>
      </w:r>
      <w:proofErr w:type="gramStart"/>
      <w:r w:rsidRPr="00281428">
        <w:t>”;</w:t>
      </w:r>
      <w:proofErr w:type="gramEnd"/>
    </w:p>
    <w:p w14:paraId="1A611DF2" w14:textId="77777777" w:rsidR="005A6E90" w:rsidRPr="00281428" w:rsidRDefault="005A6E90" w:rsidP="005A6E90">
      <w:pPr>
        <w:ind w:left="1440" w:hanging="360"/>
      </w:pPr>
      <w:r w:rsidRPr="00281428">
        <w:t>(d)</w:t>
      </w:r>
      <w:r w:rsidRPr="00281428">
        <w:tab/>
        <w:t>the primary performance claim or claims met by the fluid and reference to where any supplemental claims may be viewed (e.g., website reference).  Performance claims include but are not limited to those set by original equipment manufacturers and standards setting organizations such as SAE and JASO and are acknowledged by reference; and</w:t>
      </w:r>
    </w:p>
    <w:p w14:paraId="1AC67BE6" w14:textId="0D57B8BE" w:rsidR="005A6E90" w:rsidRPr="00281428" w:rsidRDefault="005A6E90" w:rsidP="005A6E90">
      <w:pPr>
        <w:keepNext/>
        <w:tabs>
          <w:tab w:val="left" w:pos="1080"/>
        </w:tabs>
        <w:ind w:left="1440" w:hanging="360"/>
      </w:pPr>
      <w:r w:rsidRPr="00281428">
        <w:t>(e)</w:t>
      </w:r>
      <w:r w:rsidRPr="00281428">
        <w:tab/>
        <w:t>an accurate statement of the quantity of the contents in terms of liquid measure.</w:t>
      </w:r>
    </w:p>
    <w:p w14:paraId="43896A98" w14:textId="007ABB42" w:rsidR="00C0568F" w:rsidRPr="00281428" w:rsidRDefault="005A6E90" w:rsidP="00736E0F">
      <w:pPr>
        <w:pStyle w:val="ListParagraph"/>
        <w:numPr>
          <w:ilvl w:val="0"/>
          <w:numId w:val="56"/>
        </w:numPr>
        <w:spacing w:before="40"/>
        <w:ind w:left="1440"/>
        <w:rPr>
          <w:b/>
          <w:szCs w:val="20"/>
          <w:u w:val="single"/>
        </w:rPr>
      </w:pPr>
      <w:bookmarkStart w:id="154" w:name="_Hlk65653170"/>
      <w:r w:rsidRPr="00281428">
        <w:rPr>
          <w:b/>
          <w:szCs w:val="20"/>
          <w:u w:val="single"/>
        </w:rPr>
        <w:t xml:space="preserve">Any obsolete equipment manufacturer specifications shall be clearly identified as “obsolete” and accompanied by the following </w:t>
      </w:r>
      <w:r w:rsidR="00976CCF" w:rsidRPr="00281428">
        <w:rPr>
          <w:b/>
          <w:szCs w:val="20"/>
          <w:u w:val="single"/>
        </w:rPr>
        <w:t xml:space="preserve">cautionary statement </w:t>
      </w:r>
      <w:r w:rsidRPr="00281428">
        <w:rPr>
          <w:b/>
          <w:szCs w:val="20"/>
          <w:u w:val="single"/>
        </w:rPr>
        <w:t>on the princip</w:t>
      </w:r>
      <w:r w:rsidR="00976CCF" w:rsidRPr="00281428">
        <w:rPr>
          <w:b/>
          <w:szCs w:val="20"/>
          <w:u w:val="single"/>
        </w:rPr>
        <w:t>al</w:t>
      </w:r>
      <w:r w:rsidRPr="00281428">
        <w:rPr>
          <w:b/>
          <w:szCs w:val="20"/>
          <w:u w:val="single"/>
        </w:rPr>
        <w:t xml:space="preserve"> display panel in </w:t>
      </w:r>
      <w:r w:rsidR="003D73FE" w:rsidRPr="00281428">
        <w:rPr>
          <w:b/>
          <w:szCs w:val="20"/>
          <w:u w:val="single"/>
        </w:rPr>
        <w:t xml:space="preserve">accordance </w:t>
      </w:r>
      <w:r w:rsidR="009049C3" w:rsidRPr="00281428">
        <w:rPr>
          <w:b/>
          <w:szCs w:val="20"/>
          <w:u w:val="single"/>
        </w:rPr>
        <w:t xml:space="preserve">with the Uniform Packaging and Labeling Regulation, </w:t>
      </w:r>
      <w:r w:rsidR="007C6B50" w:rsidRPr="00281428">
        <w:rPr>
          <w:b/>
          <w:szCs w:val="20"/>
          <w:u w:val="single"/>
        </w:rPr>
        <w:t>Section 8.  Prominence and Placement:  Consumer Packages and Section 9. Prominence and Placement: Non-Consumer Packages</w:t>
      </w:r>
      <w:r w:rsidR="00316FEF" w:rsidRPr="00281428">
        <w:rPr>
          <w:b/>
          <w:szCs w:val="20"/>
          <w:u w:val="single"/>
        </w:rPr>
        <w:t>.</w:t>
      </w:r>
    </w:p>
    <w:bookmarkEnd w:id="154"/>
    <w:p w14:paraId="403EF65C" w14:textId="29E1BD17" w:rsidR="00C0568F" w:rsidRPr="00281428" w:rsidRDefault="005A6E90" w:rsidP="00C0568F">
      <w:pPr>
        <w:pStyle w:val="ListParagraph"/>
        <w:spacing w:before="40"/>
        <w:ind w:left="1440"/>
        <w:rPr>
          <w:b/>
          <w:szCs w:val="20"/>
          <w:u w:val="single"/>
        </w:rPr>
      </w:pPr>
      <w:r w:rsidRPr="00281428">
        <w:rPr>
          <w:b/>
          <w:szCs w:val="20"/>
          <w:u w:val="single"/>
        </w:rPr>
        <w:t xml:space="preserve">Caution:  Some of the specifications are no longer deemed active by the original equipment manufacturer. </w:t>
      </w:r>
      <w:r w:rsidR="003D73FE" w:rsidRPr="00281428">
        <w:rPr>
          <w:b/>
          <w:szCs w:val="20"/>
          <w:u w:val="single"/>
        </w:rPr>
        <w:t xml:space="preserve"> </w:t>
      </w:r>
      <w:r w:rsidRPr="00281428">
        <w:rPr>
          <w:b/>
          <w:szCs w:val="20"/>
          <w:u w:val="single"/>
        </w:rPr>
        <w:t xml:space="preserve">Significant harm to the </w:t>
      </w:r>
      <w:r w:rsidR="00316FEF" w:rsidRPr="00281428">
        <w:rPr>
          <w:b/>
          <w:szCs w:val="20"/>
          <w:u w:val="single"/>
        </w:rPr>
        <w:t xml:space="preserve">transmission </w:t>
      </w:r>
      <w:r w:rsidRPr="00281428">
        <w:rPr>
          <w:b/>
          <w:szCs w:val="20"/>
          <w:u w:val="single"/>
        </w:rPr>
        <w:t xml:space="preserve">is possible when using in applications in which it is not intended.  Always refer to your vehicle owner’s manual for proper transmission fluids. </w:t>
      </w:r>
    </w:p>
    <w:p w14:paraId="565F7A50" w14:textId="0FED4C50" w:rsidR="005A6E90" w:rsidRPr="00281428" w:rsidRDefault="005A6E90" w:rsidP="005A6E90">
      <w:pPr>
        <w:pStyle w:val="ListParagraph"/>
        <w:spacing w:before="40" w:after="0"/>
        <w:ind w:left="1440"/>
        <w:rPr>
          <w:b/>
          <w:szCs w:val="20"/>
          <w:u w:val="single"/>
        </w:rPr>
      </w:pPr>
      <w:r w:rsidRPr="00281428">
        <w:rPr>
          <w:b/>
          <w:szCs w:val="20"/>
          <w:u w:val="single"/>
        </w:rPr>
        <w:t xml:space="preserve">The above </w:t>
      </w:r>
      <w:r w:rsidR="003D73FE" w:rsidRPr="00281428">
        <w:rPr>
          <w:b/>
          <w:szCs w:val="20"/>
          <w:u w:val="single"/>
        </w:rPr>
        <w:t xml:space="preserve">cautionary statement </w:t>
      </w:r>
      <w:r w:rsidRPr="00281428">
        <w:rPr>
          <w:b/>
          <w:szCs w:val="20"/>
          <w:u w:val="single"/>
        </w:rPr>
        <w:t>is not required if the fluid claims to meet current original equipment manufacturer’s specifications and refers to thereby preceding specifications</w:t>
      </w:r>
    </w:p>
    <w:p w14:paraId="7957162E" w14:textId="7BC103DE" w:rsidR="005A6E90" w:rsidRPr="00281428" w:rsidRDefault="005A6E90" w:rsidP="005A6E90">
      <w:pPr>
        <w:pStyle w:val="ListParagraph"/>
        <w:spacing w:before="40" w:after="0"/>
        <w:ind w:left="1440"/>
        <w:rPr>
          <w:b/>
          <w:szCs w:val="20"/>
          <w:u w:val="single"/>
        </w:rPr>
      </w:pPr>
      <w:r w:rsidRPr="00281428">
        <w:rPr>
          <w:b/>
          <w:szCs w:val="20"/>
          <w:u w:val="single"/>
        </w:rPr>
        <w:t>(Added 20XX)</w:t>
      </w:r>
    </w:p>
    <w:p w14:paraId="1D40E45D" w14:textId="7302B1C8" w:rsidR="005A6E90" w:rsidRPr="00281428" w:rsidRDefault="005A6E90" w:rsidP="00FC49B1">
      <w:pPr>
        <w:ind w:left="360"/>
      </w:pPr>
      <w:r w:rsidRPr="00281428">
        <w:t>(Amended 2017</w:t>
      </w:r>
      <w:r w:rsidR="003D73FE" w:rsidRPr="00281428">
        <w:t xml:space="preserve"> </w:t>
      </w:r>
      <w:r w:rsidR="003D73FE" w:rsidRPr="00281428">
        <w:rPr>
          <w:b/>
          <w:bCs/>
          <w:u w:val="single"/>
        </w:rPr>
        <w:t>and 20XX</w:t>
      </w:r>
      <w:r w:rsidRPr="00281428">
        <w:t>)</w:t>
      </w:r>
    </w:p>
    <w:p w14:paraId="687B2F3C" w14:textId="77777777" w:rsidR="005A6E90" w:rsidRPr="00281428" w:rsidRDefault="005A6E90" w:rsidP="00FC49B1">
      <w:pPr>
        <w:spacing w:after="0"/>
      </w:pPr>
      <w:r w:rsidRPr="00281428">
        <w:rPr>
          <w:b/>
        </w:rPr>
        <w:t>Previous Action:</w:t>
      </w:r>
    </w:p>
    <w:p w14:paraId="58CFF1D4" w14:textId="77777777" w:rsidR="005A6E90" w:rsidRPr="00281428" w:rsidRDefault="005A6E90" w:rsidP="00FC49B1">
      <w:pPr>
        <w:pStyle w:val="ListParagraph"/>
        <w:numPr>
          <w:ilvl w:val="0"/>
          <w:numId w:val="54"/>
        </w:numPr>
        <w:contextualSpacing/>
      </w:pPr>
      <w:r w:rsidRPr="00281428">
        <w:t>N/A</w:t>
      </w:r>
    </w:p>
    <w:p w14:paraId="3C7D3479" w14:textId="77777777" w:rsidR="005A6E90" w:rsidRPr="00281428" w:rsidRDefault="005A6E90" w:rsidP="00FC49B1">
      <w:pPr>
        <w:spacing w:after="0"/>
        <w:rPr>
          <w:b/>
          <w:szCs w:val="20"/>
        </w:rPr>
      </w:pPr>
      <w:r w:rsidRPr="00281428">
        <w:rPr>
          <w:b/>
          <w:szCs w:val="20"/>
        </w:rPr>
        <w:t>Original Justification:</w:t>
      </w:r>
    </w:p>
    <w:p w14:paraId="33AB3632" w14:textId="436F40E8" w:rsidR="005A6E90" w:rsidRPr="00281428" w:rsidRDefault="005A6E90" w:rsidP="00FC49B1">
      <w:pPr>
        <w:spacing w:before="40"/>
        <w:rPr>
          <w:szCs w:val="20"/>
        </w:rPr>
      </w:pPr>
      <w:r w:rsidRPr="00281428">
        <w:rPr>
          <w:szCs w:val="20"/>
        </w:rPr>
        <w:t xml:space="preserve">Cautionary statements regarding obsolete products are currently required for tractor hydraulic fluids and are under consideration for motor oil. </w:t>
      </w:r>
      <w:r w:rsidR="00EC4E82">
        <w:rPr>
          <w:szCs w:val="20"/>
        </w:rPr>
        <w:t xml:space="preserve"> </w:t>
      </w:r>
      <w:r w:rsidRPr="00281428">
        <w:rPr>
          <w:szCs w:val="20"/>
        </w:rPr>
        <w:t xml:space="preserve">A cautionary statement and its position on the product label </w:t>
      </w:r>
      <w:r w:rsidR="009E3338" w:rsidRPr="00281428">
        <w:rPr>
          <w:szCs w:val="20"/>
        </w:rPr>
        <w:t xml:space="preserve">are </w:t>
      </w:r>
      <w:r w:rsidRPr="00281428">
        <w:rPr>
          <w:szCs w:val="20"/>
        </w:rPr>
        <w:t>currently</w:t>
      </w:r>
      <w:r w:rsidR="00316FEF" w:rsidRPr="00281428">
        <w:rPr>
          <w:szCs w:val="20"/>
        </w:rPr>
        <w:t xml:space="preserve"> not</w:t>
      </w:r>
      <w:r w:rsidRPr="00281428">
        <w:rPr>
          <w:szCs w:val="20"/>
        </w:rPr>
        <w:t xml:space="preserve"> required for </w:t>
      </w:r>
      <w:r w:rsidRPr="00281428">
        <w:rPr>
          <w:szCs w:val="20"/>
        </w:rPr>
        <w:lastRenderedPageBreak/>
        <w:t>Transmission fluid in either the Method of Sale, or Fuels and Lubricants Regulations.  This proposal will protect consumers by ensuring they are informed when purchasing transmission fluids.</w:t>
      </w:r>
    </w:p>
    <w:p w14:paraId="4C3DC353" w14:textId="144982CF" w:rsidR="005A6E90" w:rsidRPr="00281428" w:rsidRDefault="005A6E90" w:rsidP="00FC49B1">
      <w:pPr>
        <w:spacing w:before="40"/>
        <w:rPr>
          <w:szCs w:val="20"/>
        </w:rPr>
      </w:pPr>
      <w:r w:rsidRPr="00281428">
        <w:rPr>
          <w:szCs w:val="20"/>
        </w:rPr>
        <w:t>The submitter acknowledged that there may be argument that there is not sufficient space on the front package label for a cautionary statement.</w:t>
      </w:r>
    </w:p>
    <w:p w14:paraId="4A4AF8ED" w14:textId="623CF37E" w:rsidR="005A6E90" w:rsidRPr="00281428" w:rsidRDefault="005A6E90" w:rsidP="00FC49B1">
      <w:pPr>
        <w:rPr>
          <w:szCs w:val="20"/>
        </w:rPr>
      </w:pPr>
      <w:r w:rsidRPr="00281428">
        <w:rPr>
          <w:szCs w:val="20"/>
        </w:rPr>
        <w:t xml:space="preserve">The submitter requested </w:t>
      </w:r>
      <w:r w:rsidR="00EC4E82">
        <w:rPr>
          <w:szCs w:val="20"/>
        </w:rPr>
        <w:t>V</w:t>
      </w:r>
      <w:r w:rsidRPr="00281428">
        <w:rPr>
          <w:szCs w:val="20"/>
        </w:rPr>
        <w:t>oting status for this item in 2021.</w:t>
      </w:r>
    </w:p>
    <w:p w14:paraId="393C70FE" w14:textId="77777777" w:rsidR="005A6E90" w:rsidRPr="00281428" w:rsidRDefault="005A6E90" w:rsidP="00FC49B1">
      <w:pPr>
        <w:rPr>
          <w:b/>
        </w:rPr>
      </w:pPr>
      <w:r w:rsidRPr="00281428">
        <w:rPr>
          <w:b/>
        </w:rPr>
        <w:t>Arguments in Favor:</w:t>
      </w:r>
    </w:p>
    <w:p w14:paraId="5EC79265" w14:textId="77777777" w:rsidR="005A6E90" w:rsidRPr="00281428" w:rsidRDefault="005A6E90" w:rsidP="00FC49B1">
      <w:pPr>
        <w:spacing w:after="0"/>
        <w:ind w:left="720"/>
        <w:rPr>
          <w:b/>
        </w:rPr>
      </w:pPr>
      <w:r w:rsidRPr="00281428">
        <w:rPr>
          <w:b/>
        </w:rPr>
        <w:t>Regulatory:</w:t>
      </w:r>
    </w:p>
    <w:p w14:paraId="29480987" w14:textId="6D22657C" w:rsidR="005A6E90" w:rsidRPr="00281428" w:rsidRDefault="00B957D8" w:rsidP="00FC49B1">
      <w:pPr>
        <w:pStyle w:val="ListParagraph"/>
        <w:numPr>
          <w:ilvl w:val="0"/>
          <w:numId w:val="52"/>
        </w:numPr>
        <w:spacing w:line="259" w:lineRule="auto"/>
        <w:ind w:left="1080"/>
        <w:contextualSpacing/>
        <w:jc w:val="left"/>
      </w:pPr>
      <w:r w:rsidRPr="00281428">
        <w:t>Mr. Ron Hayes (</w:t>
      </w:r>
      <w:r>
        <w:t>MO</w:t>
      </w:r>
      <w:r w:rsidRPr="00281428">
        <w:t xml:space="preserve">) provided an overview to the Committee regarding the issue with obsolete fluids in the marketplace.  </w:t>
      </w:r>
      <w:r>
        <w:t>Mr. Hayes</w:t>
      </w:r>
      <w:r w:rsidRPr="00281428">
        <w:t xml:space="preserve"> also remarked that at the CWMA 2020 Meeting he with worked with Ms. Warfield (NIST OWM) to clarify the language in the first paragraph of (f).</w:t>
      </w:r>
    </w:p>
    <w:p w14:paraId="4BA25BE8" w14:textId="77777777" w:rsidR="005A6E90" w:rsidRPr="00281428" w:rsidRDefault="005A6E90" w:rsidP="005A6E90">
      <w:pPr>
        <w:spacing w:after="0"/>
        <w:ind w:left="720"/>
        <w:rPr>
          <w:b/>
        </w:rPr>
      </w:pPr>
      <w:r w:rsidRPr="00281428">
        <w:rPr>
          <w:b/>
        </w:rPr>
        <w:t>Industry:</w:t>
      </w:r>
    </w:p>
    <w:p w14:paraId="2EACA148" w14:textId="77777777" w:rsidR="005A6E90" w:rsidRPr="00281428" w:rsidRDefault="005A6E90" w:rsidP="005A6E90">
      <w:pPr>
        <w:pStyle w:val="ListParagraph"/>
        <w:numPr>
          <w:ilvl w:val="0"/>
          <w:numId w:val="52"/>
        </w:numPr>
        <w:spacing w:line="259" w:lineRule="auto"/>
        <w:ind w:left="1080"/>
        <w:contextualSpacing/>
        <w:jc w:val="left"/>
      </w:pPr>
    </w:p>
    <w:p w14:paraId="2FB4245E" w14:textId="77777777" w:rsidR="005A6E90" w:rsidRPr="00281428" w:rsidRDefault="005A6E90" w:rsidP="005A6E90">
      <w:pPr>
        <w:spacing w:after="0"/>
        <w:ind w:left="720"/>
        <w:rPr>
          <w:b/>
        </w:rPr>
      </w:pPr>
      <w:r w:rsidRPr="00281428">
        <w:rPr>
          <w:b/>
        </w:rPr>
        <w:t>Advisory:</w:t>
      </w:r>
    </w:p>
    <w:p w14:paraId="2CE4027E" w14:textId="77777777" w:rsidR="005A6E90" w:rsidRPr="00281428" w:rsidRDefault="005A6E90" w:rsidP="005A6E90">
      <w:pPr>
        <w:pStyle w:val="ListParagraph"/>
        <w:numPr>
          <w:ilvl w:val="0"/>
          <w:numId w:val="52"/>
        </w:numPr>
        <w:spacing w:line="259" w:lineRule="auto"/>
        <w:ind w:left="1080"/>
        <w:contextualSpacing/>
        <w:jc w:val="left"/>
      </w:pPr>
    </w:p>
    <w:p w14:paraId="4240552B" w14:textId="77777777" w:rsidR="005A6E90" w:rsidRPr="00281428" w:rsidRDefault="005A6E90" w:rsidP="005A6E90">
      <w:pPr>
        <w:rPr>
          <w:b/>
        </w:rPr>
      </w:pPr>
      <w:r w:rsidRPr="00281428">
        <w:rPr>
          <w:b/>
        </w:rPr>
        <w:t>Arguments Against:</w:t>
      </w:r>
    </w:p>
    <w:p w14:paraId="391031B5" w14:textId="77777777" w:rsidR="005A6E90" w:rsidRPr="00281428" w:rsidRDefault="005A6E90" w:rsidP="005A6E90">
      <w:pPr>
        <w:spacing w:after="0"/>
        <w:ind w:left="720"/>
        <w:rPr>
          <w:b/>
        </w:rPr>
      </w:pPr>
      <w:r w:rsidRPr="00281428">
        <w:rPr>
          <w:b/>
        </w:rPr>
        <w:t>Regulatory:</w:t>
      </w:r>
    </w:p>
    <w:p w14:paraId="3D4FB37D" w14:textId="77777777" w:rsidR="005A6E90" w:rsidRPr="00281428" w:rsidRDefault="005A6E90" w:rsidP="005A6E90">
      <w:pPr>
        <w:pStyle w:val="ListParagraph"/>
        <w:numPr>
          <w:ilvl w:val="0"/>
          <w:numId w:val="53"/>
        </w:numPr>
        <w:spacing w:line="259" w:lineRule="auto"/>
        <w:ind w:left="1080"/>
        <w:contextualSpacing/>
        <w:jc w:val="left"/>
      </w:pPr>
    </w:p>
    <w:p w14:paraId="35A587DF" w14:textId="77777777" w:rsidR="005A6E90" w:rsidRPr="00281428" w:rsidRDefault="005A6E90" w:rsidP="005A6E90">
      <w:pPr>
        <w:spacing w:after="0"/>
        <w:ind w:left="720"/>
        <w:rPr>
          <w:b/>
        </w:rPr>
      </w:pPr>
      <w:r w:rsidRPr="00281428">
        <w:rPr>
          <w:b/>
        </w:rPr>
        <w:t>Industry:</w:t>
      </w:r>
    </w:p>
    <w:p w14:paraId="2A5A381A" w14:textId="70D51255" w:rsidR="005A6E90" w:rsidRPr="00281428" w:rsidRDefault="00643679" w:rsidP="000B4621">
      <w:pPr>
        <w:pStyle w:val="ListParagraph"/>
        <w:numPr>
          <w:ilvl w:val="0"/>
          <w:numId w:val="53"/>
        </w:numPr>
        <w:spacing w:line="259" w:lineRule="auto"/>
        <w:ind w:left="1080"/>
        <w:contextualSpacing/>
      </w:pPr>
      <w:r w:rsidRPr="00281428">
        <w:t xml:space="preserve">Ms. Johanna Johnson has been working with industry regarding the terminology.  This is important that everyone understands the terminology.  Currently industry uses terminology but has different meanings.  </w:t>
      </w:r>
    </w:p>
    <w:p w14:paraId="6226F8DD" w14:textId="77777777" w:rsidR="005A6E90" w:rsidRPr="00281428" w:rsidRDefault="005A6E90" w:rsidP="000B4621">
      <w:pPr>
        <w:spacing w:after="0"/>
        <w:ind w:left="720"/>
        <w:rPr>
          <w:b/>
        </w:rPr>
      </w:pPr>
      <w:r w:rsidRPr="00281428">
        <w:rPr>
          <w:b/>
        </w:rPr>
        <w:t>Advisory:</w:t>
      </w:r>
    </w:p>
    <w:p w14:paraId="0C2611B3" w14:textId="39CDF1C9" w:rsidR="005A6E90" w:rsidRPr="00281428" w:rsidRDefault="00643679" w:rsidP="000B4621">
      <w:pPr>
        <w:pStyle w:val="ListParagraph"/>
        <w:numPr>
          <w:ilvl w:val="0"/>
          <w:numId w:val="53"/>
        </w:numPr>
        <w:spacing w:line="259" w:lineRule="auto"/>
        <w:ind w:left="1080"/>
        <w:contextualSpacing/>
      </w:pPr>
      <w:r w:rsidRPr="00281428">
        <w:t>Ms. Warfield (NIST</w:t>
      </w:r>
      <w:r w:rsidR="00627C35">
        <w:t xml:space="preserve"> OWM</w:t>
      </w:r>
      <w:r w:rsidRPr="00281428">
        <w:t>) remarked that the language should be clear and conspicuous following the UPLR.</w:t>
      </w:r>
      <w:r w:rsidR="007C6B50" w:rsidRPr="00281428">
        <w:t xml:space="preserve">   It was unknown whether this product type include both consumer and non-consumer type packaging. </w:t>
      </w:r>
    </w:p>
    <w:p w14:paraId="2B81CA95" w14:textId="77777777" w:rsidR="005A6E90" w:rsidRPr="00281428" w:rsidRDefault="005A6E90" w:rsidP="005A6E90">
      <w:pPr>
        <w:spacing w:after="0"/>
        <w:rPr>
          <w:b/>
        </w:rPr>
      </w:pPr>
      <w:r w:rsidRPr="00281428">
        <w:rPr>
          <w:b/>
        </w:rPr>
        <w:t>Item Development:</w:t>
      </w:r>
    </w:p>
    <w:p w14:paraId="1DB49F3A" w14:textId="0EBED1D9" w:rsidR="002B0241" w:rsidRPr="00281428" w:rsidRDefault="002B0241" w:rsidP="005A6E90">
      <w:r w:rsidRPr="00B957D8">
        <w:rPr>
          <w:u w:val="single"/>
        </w:rPr>
        <w:t xml:space="preserve">NCWM </w:t>
      </w:r>
      <w:r w:rsidR="0081217C">
        <w:rPr>
          <w:u w:val="single"/>
        </w:rPr>
        <w:t xml:space="preserve">2021 </w:t>
      </w:r>
      <w:r w:rsidRPr="00B957D8">
        <w:rPr>
          <w:u w:val="single"/>
        </w:rPr>
        <w:t>Interim Meeting</w:t>
      </w:r>
      <w:r w:rsidR="00E21F41" w:rsidRPr="00B957D8">
        <w:rPr>
          <w:u w:val="single"/>
        </w:rPr>
        <w:t>:</w:t>
      </w:r>
      <w:r w:rsidR="00E21F41">
        <w:t xml:space="preserve">  T</w:t>
      </w:r>
      <w:r w:rsidRPr="00281428">
        <w:t xml:space="preserve">he Committee reviewed the following </w:t>
      </w:r>
      <w:r w:rsidR="003D73FE" w:rsidRPr="00281428">
        <w:t>item for consideration in Pub 15 (2021)</w:t>
      </w:r>
      <w:r w:rsidRPr="00281428">
        <w:t>:</w:t>
      </w:r>
    </w:p>
    <w:p w14:paraId="1D2E42FB" w14:textId="77777777" w:rsidR="002B0241" w:rsidRPr="00281428" w:rsidRDefault="002B0241" w:rsidP="002B0241">
      <w:pPr>
        <w:pStyle w:val="ListParagraph"/>
        <w:numPr>
          <w:ilvl w:val="0"/>
          <w:numId w:val="73"/>
        </w:numPr>
        <w:tabs>
          <w:tab w:val="left" w:pos="1440"/>
        </w:tabs>
        <w:ind w:left="720"/>
        <w:rPr>
          <w:b/>
          <w:szCs w:val="20"/>
          <w:u w:val="single"/>
        </w:rPr>
      </w:pPr>
      <w:r w:rsidRPr="00281428">
        <w:rPr>
          <w:b/>
          <w:szCs w:val="20"/>
          <w:u w:val="single"/>
        </w:rPr>
        <w:t xml:space="preserve">Any obsolete equipment manufacturer specifications shall be clearly identified as “obsolete” and accompanied by the following warning on the </w:t>
      </w:r>
      <w:proofErr w:type="gramStart"/>
      <w:r w:rsidRPr="00281428">
        <w:rPr>
          <w:b/>
          <w:szCs w:val="20"/>
          <w:u w:val="single"/>
        </w:rPr>
        <w:t>principle</w:t>
      </w:r>
      <w:proofErr w:type="gramEnd"/>
      <w:r w:rsidRPr="00281428">
        <w:rPr>
          <w:b/>
          <w:szCs w:val="20"/>
          <w:u w:val="single"/>
        </w:rPr>
        <w:t xml:space="preserve"> display panel in clearly legible font size and color as stated in Uniform Packaging and Labeling Regulation 8.2.2.:  </w:t>
      </w:r>
    </w:p>
    <w:p w14:paraId="12CC5707" w14:textId="1440D6BF" w:rsidR="002B0241" w:rsidRPr="00281428" w:rsidRDefault="002B0241" w:rsidP="002B0241">
      <w:pPr>
        <w:pStyle w:val="ListParagraph"/>
        <w:rPr>
          <w:b/>
          <w:szCs w:val="20"/>
          <w:u w:val="single"/>
        </w:rPr>
      </w:pPr>
      <w:r w:rsidRPr="00281428">
        <w:rPr>
          <w:b/>
          <w:szCs w:val="20"/>
          <w:u w:val="single"/>
        </w:rPr>
        <w:t xml:space="preserve">Caution:  Some of the specifications are no longer deemed active by the original equipment manufacturer. </w:t>
      </w:r>
      <w:r w:rsidR="00CF4099" w:rsidRPr="00281428">
        <w:rPr>
          <w:b/>
          <w:szCs w:val="20"/>
          <w:u w:val="single"/>
        </w:rPr>
        <w:t xml:space="preserve"> </w:t>
      </w:r>
      <w:r w:rsidRPr="00281428">
        <w:rPr>
          <w:b/>
          <w:szCs w:val="20"/>
          <w:u w:val="single"/>
        </w:rPr>
        <w:t xml:space="preserve">Significant harm to the Transmission is possible when using in applications in which it is not intended.  Always refer to your vehicle owner’s manual for proper transmission fluids. </w:t>
      </w:r>
    </w:p>
    <w:p w14:paraId="443351BA" w14:textId="77777777" w:rsidR="002B0241" w:rsidRPr="00281428" w:rsidRDefault="002B0241" w:rsidP="002B0241">
      <w:pPr>
        <w:pStyle w:val="ListParagraph"/>
        <w:spacing w:after="0"/>
        <w:rPr>
          <w:b/>
          <w:szCs w:val="20"/>
          <w:u w:val="single"/>
        </w:rPr>
      </w:pPr>
      <w:r w:rsidRPr="00281428">
        <w:rPr>
          <w:b/>
          <w:szCs w:val="20"/>
          <w:u w:val="single"/>
        </w:rPr>
        <w:t>The above warning is not required if the fluid claims to meet current original equipment manufacturer’s specifications and refers to thereby preceding specifications</w:t>
      </w:r>
    </w:p>
    <w:p w14:paraId="7FD33085" w14:textId="77777777" w:rsidR="002B0241" w:rsidRPr="00281428" w:rsidRDefault="002B0241" w:rsidP="002B0241">
      <w:pPr>
        <w:pStyle w:val="ListParagraph"/>
        <w:spacing w:before="40"/>
        <w:rPr>
          <w:b/>
          <w:szCs w:val="20"/>
          <w:u w:val="single"/>
        </w:rPr>
      </w:pPr>
      <w:r w:rsidRPr="00281428">
        <w:rPr>
          <w:b/>
          <w:szCs w:val="20"/>
          <w:u w:val="single"/>
        </w:rPr>
        <w:t>(Added 20XX)</w:t>
      </w:r>
    </w:p>
    <w:p w14:paraId="56DCF55B" w14:textId="1B1C6D0A" w:rsidR="002B0241" w:rsidRPr="00281428" w:rsidRDefault="002B0241" w:rsidP="005A6E90">
      <w:r w:rsidRPr="00281428">
        <w:t xml:space="preserve">Mr. Ron Hayes </w:t>
      </w:r>
      <w:r w:rsidR="003D73FE" w:rsidRPr="00281428">
        <w:t>(</w:t>
      </w:r>
      <w:r w:rsidR="00051489">
        <w:t>MO</w:t>
      </w:r>
      <w:r w:rsidR="003D73FE" w:rsidRPr="00281428">
        <w:t xml:space="preserve">) </w:t>
      </w:r>
      <w:r w:rsidR="00976CCF" w:rsidRPr="00281428">
        <w:t>provided an overview to the Committee regarding the issue with obsolete fluids in the marketplace</w:t>
      </w:r>
      <w:r w:rsidR="003D73FE" w:rsidRPr="00281428">
        <w:t>.</w:t>
      </w:r>
      <w:r w:rsidR="00976CCF" w:rsidRPr="00281428">
        <w:t xml:space="preserve">  </w:t>
      </w:r>
      <w:r w:rsidR="00051489">
        <w:t>Mr. Hayes</w:t>
      </w:r>
      <w:r w:rsidR="00976CCF" w:rsidRPr="00281428">
        <w:t xml:space="preserve"> also </w:t>
      </w:r>
      <w:r w:rsidRPr="00281428">
        <w:t xml:space="preserve">remarked that at the CWMA 2020 Meeting </w:t>
      </w:r>
      <w:r w:rsidR="00316FEF" w:rsidRPr="00281428">
        <w:t xml:space="preserve">he </w:t>
      </w:r>
      <w:r w:rsidRPr="00281428">
        <w:t xml:space="preserve">with </w:t>
      </w:r>
      <w:r w:rsidR="00976CCF" w:rsidRPr="00281428">
        <w:t xml:space="preserve">worked with </w:t>
      </w:r>
      <w:r w:rsidRPr="00281428">
        <w:t xml:space="preserve">Ms. Warfield (NIST OWM) to clarify the language </w:t>
      </w:r>
      <w:r w:rsidR="00CF4099" w:rsidRPr="00281428">
        <w:t xml:space="preserve">in </w:t>
      </w:r>
      <w:r w:rsidR="00316FEF" w:rsidRPr="00281428">
        <w:t>the first paragraph of (f)</w:t>
      </w:r>
      <w:r w:rsidRPr="00281428">
        <w:t xml:space="preserve">.  </w:t>
      </w:r>
      <w:r w:rsidR="006D2229" w:rsidRPr="00281428">
        <w:t xml:space="preserve">Ms. Warfield had noted that UPLR does not have specifications for color however, Section 8. does state it must be conspicuous.    It was agreed by the Committee that </w:t>
      </w:r>
      <w:r w:rsidR="006D2229" w:rsidRPr="00281428">
        <w:lastRenderedPageBreak/>
        <w:t xml:space="preserve">this language should be identical to the language that was just voted in at the 2020 NCWM Annual Meeting within Item Block 2. Tractor Hydraulic Fluid.   </w:t>
      </w:r>
      <w:r w:rsidR="00643679" w:rsidRPr="00281428">
        <w:t xml:space="preserve">  Ms. Johanna Johnson</w:t>
      </w:r>
      <w:r w:rsidR="00051489">
        <w:t xml:space="preserve"> (</w:t>
      </w:r>
      <w:r w:rsidR="00500A6F" w:rsidRPr="00500A6F">
        <w:t>Johnson Policy Associates, Inc.</w:t>
      </w:r>
      <w:r w:rsidR="00051489">
        <w:t>)</w:t>
      </w:r>
      <w:r w:rsidR="00643679" w:rsidRPr="00281428">
        <w:t xml:space="preserve"> would like additional time to reach consensus with industry regarding to align terminology (</w:t>
      </w:r>
      <w:proofErr w:type="gramStart"/>
      <w:r w:rsidR="00643679" w:rsidRPr="00281428">
        <w:t>e.g.</w:t>
      </w:r>
      <w:proofErr w:type="gramEnd"/>
      <w:r w:rsidR="00643679" w:rsidRPr="00281428">
        <w:t xml:space="preserve"> obsolete, current, active).   Ms. Johnson requested the Committee provide this with an informational status.   FALS Chair </w:t>
      </w:r>
      <w:r w:rsidR="00051489">
        <w:t xml:space="preserve">Mr. </w:t>
      </w:r>
      <w:r w:rsidR="00643679" w:rsidRPr="00281428">
        <w:t>Striejewski informed the Committee that Ms. Johnson provided a presentation that provides additional information and will request NCWM post this.</w:t>
      </w:r>
    </w:p>
    <w:p w14:paraId="3C456C38" w14:textId="2006FF9F" w:rsidR="00643679" w:rsidRPr="00281428" w:rsidRDefault="00643679" w:rsidP="005A6E90">
      <w:bookmarkStart w:id="155" w:name="_Hlk65641871"/>
      <w:r w:rsidRPr="00281428">
        <w:t xml:space="preserve">The Committee provided this a status of Assigned and would like FALS to further evaluate with recommendations that Ms. Johnson provides.   </w:t>
      </w:r>
      <w:r w:rsidR="007C6B50" w:rsidRPr="00281428">
        <w:t xml:space="preserve">The Committee would like FALS to review the language to see if this product includes consumer and non-consumer type packaging.  </w:t>
      </w:r>
      <w:r w:rsidR="000A7592" w:rsidRPr="00281428">
        <w:t>Many spoke in support of how this item will be developed through FALS.</w:t>
      </w:r>
    </w:p>
    <w:bookmarkEnd w:id="155"/>
    <w:p w14:paraId="2B6FFEE5" w14:textId="77777777" w:rsidR="00A00E0F" w:rsidRPr="00281428" w:rsidRDefault="00A00E0F" w:rsidP="00A00E0F">
      <w:pPr>
        <w:keepNext/>
        <w:keepLines/>
        <w:spacing w:after="120"/>
        <w:rPr>
          <w:szCs w:val="20"/>
        </w:rPr>
      </w:pPr>
      <w:r w:rsidRPr="00281428">
        <w:rPr>
          <w:b/>
          <w:szCs w:val="20"/>
        </w:rPr>
        <w:t>Regional Association Comments:</w:t>
      </w:r>
    </w:p>
    <w:p w14:paraId="6368E8EC" w14:textId="531C5D2A" w:rsidR="009A230E" w:rsidRPr="00281428" w:rsidRDefault="00A157AD" w:rsidP="003D73FE">
      <w:pPr>
        <w:rPr>
          <w:bCs/>
        </w:rPr>
      </w:pPr>
      <w:r w:rsidRPr="00281428">
        <w:rPr>
          <w:u w:val="single"/>
        </w:rPr>
        <w:t>WWMA 2020 Annual Meeting:</w:t>
      </w:r>
      <w:r w:rsidRPr="00281428">
        <w:t xml:space="preserve">  </w:t>
      </w:r>
      <w:r w:rsidR="009A230E" w:rsidRPr="00281428">
        <w:rPr>
          <w:rFonts w:eastAsia="Times New Roman"/>
          <w:szCs w:val="24"/>
        </w:rPr>
        <w:t>The Committee heard concerns from regulators about having an up-to-date reference table to implement and enforce this regulation for transmission fluids.  Mr. Ron Hayes (</w:t>
      </w:r>
      <w:r w:rsidR="00051489">
        <w:rPr>
          <w:rFonts w:eastAsia="Times New Roman"/>
          <w:szCs w:val="24"/>
        </w:rPr>
        <w:t>MO</w:t>
      </w:r>
      <w:r w:rsidR="003D73FE" w:rsidRPr="00281428">
        <w:rPr>
          <w:rFonts w:eastAsia="Times New Roman"/>
          <w:szCs w:val="24"/>
        </w:rPr>
        <w:t>,</w:t>
      </w:r>
      <w:r w:rsidR="009A230E" w:rsidRPr="00281428">
        <w:rPr>
          <w:rFonts w:eastAsia="Times New Roman"/>
          <w:szCs w:val="24"/>
        </w:rPr>
        <w:t xml:space="preserve"> </w:t>
      </w:r>
      <w:r w:rsidR="00316FEF" w:rsidRPr="00281428">
        <w:rPr>
          <w:rFonts w:eastAsia="Times New Roman"/>
          <w:szCs w:val="24"/>
        </w:rPr>
        <w:t>submitter</w:t>
      </w:r>
      <w:r w:rsidR="009A230E" w:rsidRPr="00281428">
        <w:rPr>
          <w:rFonts w:eastAsia="Times New Roman"/>
          <w:szCs w:val="24"/>
        </w:rPr>
        <w:t xml:space="preserve">) indicated he would work with Lubrizol to provide a table.  The Committee heard concerns from regulators regarding the necessity of the language proposed in the third paragraph of subsection (f) in proposals </w:t>
      </w:r>
      <w:r w:rsidR="009A230E" w:rsidRPr="00281428">
        <w:rPr>
          <w:bCs/>
        </w:rPr>
        <w:t>MOS-21.1 and FLR 21.2; testimony indicated that this language is not needed and confusing.  The Committee heard concerns from regulators regarding a definition for “obsolete</w:t>
      </w:r>
      <w:r w:rsidR="003D73FE" w:rsidRPr="00281428">
        <w:rPr>
          <w:bCs/>
        </w:rPr>
        <w:t>.</w:t>
      </w:r>
      <w:r w:rsidR="009A230E" w:rsidRPr="00281428">
        <w:rPr>
          <w:bCs/>
        </w:rPr>
        <w:t>”.</w:t>
      </w:r>
    </w:p>
    <w:p w14:paraId="40E948DD" w14:textId="77777777" w:rsidR="009A230E" w:rsidRPr="00281428" w:rsidRDefault="009A230E" w:rsidP="003D73FE">
      <w:pPr>
        <w:rPr>
          <w:rFonts w:eastAsia="Times New Roman"/>
          <w:szCs w:val="24"/>
        </w:rPr>
      </w:pPr>
      <w:r w:rsidRPr="00281428">
        <w:rPr>
          <w:rFonts w:eastAsia="Times New Roman"/>
          <w:szCs w:val="24"/>
        </w:rPr>
        <w:t>The WWMA L&amp;R Committee recommends this as a Developing item.  The Committee recommends that the third paragraph in subsection (f) be removed from both items (see suggested edit below), that a reference table be provided prior to the item being forwarded for a vote, and that</w:t>
      </w:r>
      <w:r w:rsidRPr="00281428">
        <w:rPr>
          <w:bCs/>
        </w:rPr>
        <w:t xml:space="preserve"> the submitter include a clear definition of obsolete in the proposal.</w:t>
      </w:r>
    </w:p>
    <w:p w14:paraId="33BBA1C5" w14:textId="77777777" w:rsidR="009A230E" w:rsidRPr="00281428" w:rsidRDefault="009A230E" w:rsidP="009A230E">
      <w:pPr>
        <w:pStyle w:val="ListParagraph"/>
        <w:numPr>
          <w:ilvl w:val="0"/>
          <w:numId w:val="63"/>
        </w:numPr>
        <w:spacing w:before="40"/>
        <w:ind w:left="630"/>
        <w:rPr>
          <w:b/>
          <w:szCs w:val="20"/>
          <w:u w:val="single"/>
        </w:rPr>
      </w:pPr>
      <w:r w:rsidRPr="00281428">
        <w:rPr>
          <w:b/>
          <w:szCs w:val="20"/>
          <w:u w:val="single"/>
        </w:rPr>
        <w:t xml:space="preserve">Any obsolete equipment manufacturer specifications shall be clearly identified as “obsolete” and accompanied by the following warning on the </w:t>
      </w:r>
      <w:proofErr w:type="gramStart"/>
      <w:r w:rsidRPr="00281428">
        <w:rPr>
          <w:b/>
          <w:szCs w:val="20"/>
          <w:u w:val="single"/>
        </w:rPr>
        <w:t>principle</w:t>
      </w:r>
      <w:proofErr w:type="gramEnd"/>
      <w:r w:rsidRPr="00281428">
        <w:rPr>
          <w:b/>
          <w:szCs w:val="20"/>
          <w:u w:val="single"/>
        </w:rPr>
        <w:t xml:space="preserve"> display panel in clearly legible font size and color as stated in Uniform Packaging and Labeling Regulation 8.2.2.:  </w:t>
      </w:r>
    </w:p>
    <w:p w14:paraId="4039C0D5" w14:textId="77777777" w:rsidR="009A230E" w:rsidRPr="00281428" w:rsidRDefault="009A230E" w:rsidP="009A230E">
      <w:pPr>
        <w:pStyle w:val="ListParagraph"/>
        <w:spacing w:before="40"/>
        <w:ind w:left="630"/>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6581B57E" w14:textId="02A7830D" w:rsidR="00A157AD" w:rsidRPr="00281428" w:rsidRDefault="009A230E" w:rsidP="009A230E">
      <w:pPr>
        <w:ind w:left="630"/>
        <w:rPr>
          <w:b/>
          <w:bCs/>
        </w:rPr>
      </w:pPr>
      <w:r w:rsidRPr="00281428">
        <w:rPr>
          <w:b/>
          <w:strike/>
          <w:szCs w:val="20"/>
          <w:u w:val="single"/>
        </w:rPr>
        <w:t>The above warning is not required if the fluid claims to meet current original equipment manufacturer’s specifications and refers to thereby preceding specifications</w:t>
      </w:r>
      <w:r w:rsidR="00A157AD" w:rsidRPr="00281428">
        <w:rPr>
          <w:b/>
          <w:bCs/>
        </w:rPr>
        <w:t>.</w:t>
      </w:r>
    </w:p>
    <w:p w14:paraId="0B572316" w14:textId="31E7ACFF" w:rsidR="00A157AD" w:rsidRPr="00281428" w:rsidRDefault="00A157AD" w:rsidP="002F0196">
      <w:pPr>
        <w:rPr>
          <w:rFonts w:eastAsia="Times New Roman"/>
          <w:szCs w:val="24"/>
        </w:rPr>
      </w:pPr>
      <w:r w:rsidRPr="00281428">
        <w:rPr>
          <w:bCs/>
          <w:u w:val="single"/>
        </w:rPr>
        <w:t>SWMA 2020 Annual Meeting:</w:t>
      </w:r>
      <w:r w:rsidRPr="00281428">
        <w:rPr>
          <w:bCs/>
        </w:rPr>
        <w:t xml:space="preserve">  </w:t>
      </w:r>
      <w:r w:rsidRPr="00281428">
        <w:rPr>
          <w:rFonts w:eastAsia="Times New Roman"/>
          <w:szCs w:val="24"/>
        </w:rPr>
        <w:t>Mr. Stephen Benjamin (</w:t>
      </w:r>
      <w:r w:rsidR="00C75F21">
        <w:rPr>
          <w:rFonts w:eastAsia="Times New Roman"/>
          <w:szCs w:val="24"/>
        </w:rPr>
        <w:t>NC</w:t>
      </w:r>
      <w:r w:rsidRPr="00281428">
        <w:rPr>
          <w:rFonts w:eastAsia="Times New Roman"/>
          <w:szCs w:val="24"/>
        </w:rPr>
        <w:t xml:space="preserve">) expressed his support of the item.  The Committee had concerns over the definition of “obsolete” and the need for the third paragraph in Section 2.36.2.1(f). It was also noted that UPLR 8.2.2 does not address color.  This </w:t>
      </w:r>
      <w:r w:rsidR="00316FEF" w:rsidRPr="00281428">
        <w:rPr>
          <w:rFonts w:eastAsia="Times New Roman"/>
          <w:szCs w:val="24"/>
        </w:rPr>
        <w:t xml:space="preserve">section </w:t>
      </w:r>
      <w:r w:rsidRPr="00281428">
        <w:rPr>
          <w:rFonts w:eastAsia="Times New Roman"/>
          <w:szCs w:val="24"/>
        </w:rPr>
        <w:t xml:space="preserve">was amended by the Committee to read Section 8.1. General.  </w:t>
      </w:r>
    </w:p>
    <w:p w14:paraId="617206AC" w14:textId="4F26BD15" w:rsidR="00A157AD" w:rsidRPr="00281428" w:rsidRDefault="00A157AD" w:rsidP="002F0196">
      <w:pPr>
        <w:spacing w:before="40"/>
        <w:rPr>
          <w:rFonts w:eastAsia="Times New Roman"/>
          <w:szCs w:val="24"/>
        </w:rPr>
      </w:pPr>
      <w:r w:rsidRPr="00281428">
        <w:rPr>
          <w:rFonts w:eastAsia="Times New Roman"/>
          <w:szCs w:val="24"/>
        </w:rPr>
        <w:t xml:space="preserve">The SWMA L&amp;R Committee recommends this as an Information item. </w:t>
      </w:r>
      <w:r w:rsidR="00C70913">
        <w:rPr>
          <w:rFonts w:eastAsia="Times New Roman"/>
          <w:szCs w:val="24"/>
        </w:rPr>
        <w:t xml:space="preserve"> </w:t>
      </w:r>
      <w:r w:rsidRPr="00281428">
        <w:rPr>
          <w:rFonts w:eastAsia="Times New Roman"/>
          <w:szCs w:val="24"/>
        </w:rPr>
        <w:t xml:space="preserve">The Committee recommends that the submitter provide a clear definition of obsolete, that the first paragraph of subsection (f) for both items be updated as suggested below and that the third paragraph of subsection (f) be removed from both items. </w:t>
      </w:r>
    </w:p>
    <w:p w14:paraId="6E76D42A" w14:textId="77777777" w:rsidR="00A157AD" w:rsidRPr="00281428" w:rsidRDefault="00A157AD" w:rsidP="002F0196">
      <w:pPr>
        <w:spacing w:before="40"/>
        <w:ind w:left="720" w:hanging="335"/>
        <w:rPr>
          <w:b/>
          <w:szCs w:val="20"/>
          <w:u w:val="single"/>
        </w:rPr>
      </w:pPr>
      <w:r w:rsidRPr="00281428">
        <w:rPr>
          <w:szCs w:val="20"/>
        </w:rPr>
        <w:t>(</w:t>
      </w:r>
      <w:r w:rsidRPr="00281428">
        <w:rPr>
          <w:b/>
          <w:bCs/>
          <w:szCs w:val="20"/>
          <w:u w:val="single"/>
        </w:rPr>
        <w:t>f</w:t>
      </w:r>
      <w:r w:rsidRPr="00281428">
        <w:rPr>
          <w:szCs w:val="20"/>
        </w:rPr>
        <w:t>)</w:t>
      </w:r>
      <w:r w:rsidRPr="00281428">
        <w:rPr>
          <w:b/>
          <w:szCs w:val="20"/>
        </w:rPr>
        <w:t xml:space="preserve"> </w:t>
      </w:r>
      <w:r w:rsidRPr="00281428">
        <w:rPr>
          <w:b/>
          <w:szCs w:val="20"/>
          <w:u w:val="single"/>
        </w:rPr>
        <w:t xml:space="preserve">Any obsolete equipment manufacturer specifications shall be clearly identified as “obsolete” and accompanied by the following warning on the </w:t>
      </w:r>
      <w:proofErr w:type="gramStart"/>
      <w:r w:rsidRPr="00281428">
        <w:rPr>
          <w:b/>
          <w:szCs w:val="20"/>
          <w:u w:val="single"/>
        </w:rPr>
        <w:t>principle</w:t>
      </w:r>
      <w:proofErr w:type="gramEnd"/>
      <w:r w:rsidRPr="00281428">
        <w:rPr>
          <w:b/>
          <w:szCs w:val="20"/>
          <w:u w:val="single"/>
        </w:rPr>
        <w:t xml:space="preserve"> display panel in </w:t>
      </w:r>
      <w:bookmarkStart w:id="156" w:name="_Hlk61549516"/>
      <w:r w:rsidRPr="00281428">
        <w:rPr>
          <w:b/>
          <w:szCs w:val="20"/>
          <w:u w:val="single"/>
        </w:rPr>
        <w:t xml:space="preserve">accordance with </w:t>
      </w:r>
      <w:r w:rsidRPr="00281428">
        <w:rPr>
          <w:b/>
          <w:strike/>
          <w:szCs w:val="20"/>
        </w:rPr>
        <w:t>clearly legible font size and color as stated in</w:t>
      </w:r>
      <w:r w:rsidRPr="00281428">
        <w:rPr>
          <w:b/>
          <w:strike/>
          <w:szCs w:val="20"/>
          <w:u w:val="single"/>
        </w:rPr>
        <w:t xml:space="preserve"> </w:t>
      </w:r>
      <w:r w:rsidRPr="00281428">
        <w:rPr>
          <w:b/>
          <w:szCs w:val="20"/>
          <w:u w:val="single"/>
        </w:rPr>
        <w:t xml:space="preserve">Uniform Packaging and Labeling Regulation </w:t>
      </w:r>
      <w:r w:rsidRPr="00281428">
        <w:rPr>
          <w:rFonts w:ascii="Times New Roman Bold" w:hAnsi="Times New Roman Bold"/>
          <w:b/>
          <w:szCs w:val="20"/>
          <w:u w:val="double"/>
        </w:rPr>
        <w:t>8.1General</w:t>
      </w:r>
      <w:bookmarkEnd w:id="156"/>
      <w:r w:rsidRPr="00281428">
        <w:rPr>
          <w:rFonts w:ascii="Times New Roman Bold" w:hAnsi="Times New Roman Bold"/>
          <w:b/>
          <w:szCs w:val="20"/>
          <w:u w:val="double"/>
        </w:rPr>
        <w:t>.</w:t>
      </w:r>
      <w:r w:rsidRPr="00281428">
        <w:rPr>
          <w:b/>
          <w:strike/>
          <w:szCs w:val="20"/>
          <w:u w:val="single"/>
        </w:rPr>
        <w:t xml:space="preserve"> </w:t>
      </w:r>
      <w:r w:rsidRPr="00281428">
        <w:rPr>
          <w:b/>
          <w:strike/>
          <w:szCs w:val="20"/>
        </w:rPr>
        <w:t>8.2.2</w:t>
      </w:r>
      <w:r w:rsidRPr="00281428">
        <w:rPr>
          <w:b/>
          <w:szCs w:val="20"/>
        </w:rPr>
        <w:t>.</w:t>
      </w:r>
      <w:r w:rsidRPr="00281428">
        <w:rPr>
          <w:b/>
          <w:szCs w:val="20"/>
          <w:u w:val="single"/>
        </w:rPr>
        <w:t xml:space="preserve">:  </w:t>
      </w:r>
    </w:p>
    <w:p w14:paraId="5FB64DBC" w14:textId="77777777" w:rsidR="00A157AD" w:rsidRPr="00281428" w:rsidRDefault="00A157AD" w:rsidP="002F0196">
      <w:pPr>
        <w:pStyle w:val="ListParagraph"/>
        <w:spacing w:before="40"/>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6FD11683" w14:textId="77777777" w:rsidR="00A157AD" w:rsidRPr="00281428" w:rsidRDefault="00A157AD" w:rsidP="002F0196">
      <w:pPr>
        <w:pStyle w:val="ListParagraph"/>
        <w:spacing w:before="40" w:after="0"/>
        <w:rPr>
          <w:b/>
          <w:strike/>
          <w:szCs w:val="20"/>
          <w:u w:val="single"/>
        </w:rPr>
      </w:pPr>
      <w:r w:rsidRPr="00281428">
        <w:rPr>
          <w:b/>
          <w:strike/>
          <w:szCs w:val="20"/>
          <w:u w:val="single"/>
        </w:rPr>
        <w:t>The above warning is not required if the fluid claims to meet current original equipment manufacturer’s specifications and refers to thereby preceding specifications</w:t>
      </w:r>
    </w:p>
    <w:p w14:paraId="2C1EE21F" w14:textId="43598B0A" w:rsidR="00A157AD" w:rsidRPr="00281428" w:rsidRDefault="00A157AD">
      <w:pPr>
        <w:ind w:left="360"/>
      </w:pPr>
      <w:r w:rsidRPr="00281428">
        <w:rPr>
          <w:b/>
          <w:strike/>
          <w:szCs w:val="20"/>
          <w:u w:val="single"/>
        </w:rPr>
        <w:t>(Added 20XX)</w:t>
      </w:r>
    </w:p>
    <w:p w14:paraId="37D592F5" w14:textId="7D971FCF" w:rsidR="00A157AD" w:rsidRPr="00281428" w:rsidRDefault="00A157AD" w:rsidP="00A157AD">
      <w:pPr>
        <w:rPr>
          <w:rFonts w:eastAsia="Times New Roman"/>
          <w:szCs w:val="24"/>
        </w:rPr>
      </w:pPr>
      <w:r w:rsidRPr="00281428">
        <w:rPr>
          <w:bCs/>
          <w:u w:val="single"/>
        </w:rPr>
        <w:lastRenderedPageBreak/>
        <w:t>NEWMA 2020 Interim Meeting:</w:t>
      </w:r>
      <w:r w:rsidRPr="00281428">
        <w:rPr>
          <w:bCs/>
        </w:rPr>
        <w:t xml:space="preserve">  </w:t>
      </w:r>
      <w:r w:rsidRPr="00281428">
        <w:rPr>
          <w:rFonts w:eastAsia="Times New Roman"/>
          <w:szCs w:val="24"/>
        </w:rPr>
        <w:t>At the 2020 NEWMA Interim Meeting</w:t>
      </w:r>
      <w:r w:rsidR="00976CCF" w:rsidRPr="00281428">
        <w:rPr>
          <w:rFonts w:eastAsia="Times New Roman"/>
          <w:szCs w:val="24"/>
        </w:rPr>
        <w:t>, Mr.</w:t>
      </w:r>
      <w:r w:rsidRPr="00281428">
        <w:rPr>
          <w:rFonts w:eastAsia="Times New Roman"/>
          <w:szCs w:val="24"/>
        </w:rPr>
        <w:t xml:space="preserve"> Mike Sikula (</w:t>
      </w:r>
      <w:r w:rsidR="00C75F21">
        <w:rPr>
          <w:rFonts w:eastAsia="Times New Roman"/>
          <w:szCs w:val="24"/>
        </w:rPr>
        <w:t>NY</w:t>
      </w:r>
      <w:r w:rsidRPr="00281428">
        <w:rPr>
          <w:rFonts w:eastAsia="Times New Roman"/>
          <w:szCs w:val="24"/>
        </w:rPr>
        <w:t xml:space="preserve">) asked if this language applied to all transmission fluid or only specific types. </w:t>
      </w:r>
      <w:r w:rsidR="00976CCF" w:rsidRPr="00281428">
        <w:rPr>
          <w:rFonts w:eastAsia="Times New Roman"/>
          <w:szCs w:val="24"/>
        </w:rPr>
        <w:t xml:space="preserve"> </w:t>
      </w:r>
      <w:r w:rsidRPr="00281428">
        <w:rPr>
          <w:rFonts w:eastAsia="Times New Roman"/>
          <w:szCs w:val="24"/>
        </w:rPr>
        <w:t xml:space="preserve">Mr. Sikula commented that he has concerns about getting regulators in a precarious position between the engine manufacturers and the fluid manufacturers. </w:t>
      </w:r>
      <w:r w:rsidR="00976CCF" w:rsidRPr="00281428">
        <w:rPr>
          <w:rFonts w:eastAsia="Times New Roman"/>
          <w:szCs w:val="24"/>
        </w:rPr>
        <w:t xml:space="preserve"> </w:t>
      </w:r>
      <w:r w:rsidRPr="00281428">
        <w:rPr>
          <w:rFonts w:eastAsia="Times New Roman"/>
          <w:szCs w:val="24"/>
        </w:rPr>
        <w:t xml:space="preserve">He believes this is already covered with motor oil in Handbook 130 and </w:t>
      </w:r>
      <w:r w:rsidR="00316FEF" w:rsidRPr="00281428">
        <w:rPr>
          <w:rFonts w:eastAsia="Times New Roman"/>
          <w:szCs w:val="24"/>
        </w:rPr>
        <w:t xml:space="preserve">does not </w:t>
      </w:r>
      <w:r w:rsidRPr="00281428">
        <w:rPr>
          <w:rFonts w:eastAsia="Times New Roman"/>
          <w:szCs w:val="24"/>
        </w:rPr>
        <w:t xml:space="preserve">need further elaboration for transmission fluid. </w:t>
      </w:r>
      <w:r w:rsidR="00976CCF" w:rsidRPr="00281428">
        <w:rPr>
          <w:rFonts w:eastAsia="Times New Roman"/>
          <w:szCs w:val="24"/>
        </w:rPr>
        <w:t xml:space="preserve"> </w:t>
      </w:r>
      <w:r w:rsidR="00C75F21">
        <w:rPr>
          <w:rFonts w:eastAsia="Times New Roman"/>
          <w:szCs w:val="24"/>
        </w:rPr>
        <w:t>Mr. Sikula</w:t>
      </w:r>
      <w:r w:rsidRPr="00281428">
        <w:rPr>
          <w:rFonts w:eastAsia="Times New Roman"/>
          <w:szCs w:val="24"/>
        </w:rPr>
        <w:t xml:space="preserve"> is concerned this could become an unmanageable trend for any engine liquids or even beyond. </w:t>
      </w:r>
      <w:r w:rsidR="00976CCF" w:rsidRPr="00281428">
        <w:rPr>
          <w:rFonts w:eastAsia="Times New Roman"/>
          <w:szCs w:val="24"/>
        </w:rPr>
        <w:t xml:space="preserve"> Mr. </w:t>
      </w:r>
      <w:r w:rsidRPr="00281428">
        <w:rPr>
          <w:rFonts w:eastAsia="Times New Roman"/>
          <w:szCs w:val="24"/>
        </w:rPr>
        <w:t>Ethan Bogren (Westchester Co</w:t>
      </w:r>
      <w:r w:rsidR="00C75F21">
        <w:rPr>
          <w:rFonts w:eastAsia="Times New Roman"/>
          <w:szCs w:val="24"/>
        </w:rPr>
        <w:t>.</w:t>
      </w:r>
      <w:r w:rsidRPr="00281428">
        <w:rPr>
          <w:rFonts w:eastAsia="Times New Roman"/>
          <w:szCs w:val="24"/>
        </w:rPr>
        <w:t xml:space="preserve">, </w:t>
      </w:r>
      <w:r w:rsidR="00C75F21">
        <w:rPr>
          <w:rFonts w:eastAsia="Times New Roman"/>
          <w:szCs w:val="24"/>
        </w:rPr>
        <w:t>NY</w:t>
      </w:r>
      <w:r w:rsidRPr="00281428">
        <w:rPr>
          <w:rFonts w:eastAsia="Times New Roman"/>
          <w:szCs w:val="24"/>
        </w:rPr>
        <w:t xml:space="preserve">) questioned if there is an existing problem that is being addressed by this proposal.  </w:t>
      </w:r>
      <w:r w:rsidR="00976CCF" w:rsidRPr="00281428">
        <w:rPr>
          <w:rFonts w:eastAsia="Times New Roman"/>
          <w:szCs w:val="24"/>
        </w:rPr>
        <w:t xml:space="preserve">Ms. </w:t>
      </w:r>
      <w:r w:rsidRPr="00281428">
        <w:rPr>
          <w:rFonts w:eastAsia="Times New Roman"/>
          <w:szCs w:val="24"/>
        </w:rPr>
        <w:t>Lisa Warfield (NIST</w:t>
      </w:r>
      <w:r w:rsidR="00C75F21">
        <w:rPr>
          <w:rFonts w:eastAsia="Times New Roman"/>
          <w:szCs w:val="24"/>
        </w:rPr>
        <w:t xml:space="preserve"> OWM</w:t>
      </w:r>
      <w:r w:rsidRPr="00281428">
        <w:rPr>
          <w:rFonts w:eastAsia="Times New Roman"/>
          <w:szCs w:val="24"/>
        </w:rPr>
        <w:t xml:space="preserve">) commented that this language was modeled after the tractor hydraulic fluid regulation. </w:t>
      </w:r>
      <w:r w:rsidR="00976CCF" w:rsidRPr="00281428">
        <w:rPr>
          <w:rFonts w:eastAsia="Times New Roman"/>
          <w:szCs w:val="24"/>
        </w:rPr>
        <w:t xml:space="preserve"> Mr. </w:t>
      </w:r>
      <w:r w:rsidRPr="00281428">
        <w:rPr>
          <w:rFonts w:eastAsia="Times New Roman"/>
          <w:szCs w:val="24"/>
        </w:rPr>
        <w:t xml:space="preserve">Lou Sakin (Hopkinton, </w:t>
      </w:r>
      <w:r w:rsidR="00C75F21">
        <w:rPr>
          <w:rFonts w:eastAsia="Times New Roman"/>
          <w:szCs w:val="24"/>
        </w:rPr>
        <w:t>MA</w:t>
      </w:r>
      <w:r w:rsidRPr="00281428">
        <w:rPr>
          <w:rFonts w:eastAsia="Times New Roman"/>
          <w:szCs w:val="24"/>
        </w:rPr>
        <w:t xml:space="preserve">) asked if this could veer into a deceptive-practices situation. </w:t>
      </w:r>
      <w:r w:rsidR="00976CCF" w:rsidRPr="00281428">
        <w:rPr>
          <w:rFonts w:eastAsia="Times New Roman"/>
          <w:szCs w:val="24"/>
        </w:rPr>
        <w:t xml:space="preserve">Mr. </w:t>
      </w:r>
      <w:r w:rsidRPr="00281428">
        <w:rPr>
          <w:rFonts w:eastAsia="Times New Roman"/>
          <w:szCs w:val="24"/>
        </w:rPr>
        <w:t>John McGuire (</w:t>
      </w:r>
      <w:r w:rsidR="00C75F21">
        <w:rPr>
          <w:rFonts w:eastAsia="Times New Roman"/>
          <w:szCs w:val="24"/>
        </w:rPr>
        <w:t>NJ</w:t>
      </w:r>
      <w:r w:rsidRPr="00281428">
        <w:rPr>
          <w:rFonts w:eastAsia="Times New Roman"/>
          <w:szCs w:val="24"/>
        </w:rPr>
        <w:t>) recommended that paragraph f “and color” and the third paragraph under section “f</w:t>
      </w:r>
      <w:r w:rsidR="00976CCF" w:rsidRPr="00281428">
        <w:rPr>
          <w:rFonts w:eastAsia="Times New Roman"/>
          <w:szCs w:val="24"/>
        </w:rPr>
        <w:t>”</w:t>
      </w:r>
      <w:r w:rsidRPr="00281428">
        <w:rPr>
          <w:rFonts w:eastAsia="Times New Roman"/>
          <w:szCs w:val="24"/>
        </w:rPr>
        <w:t xml:space="preserve"> be stricken. </w:t>
      </w:r>
      <w:r w:rsidR="00976CCF" w:rsidRPr="00281428">
        <w:rPr>
          <w:rFonts w:eastAsia="Times New Roman"/>
          <w:szCs w:val="24"/>
        </w:rPr>
        <w:t xml:space="preserve"> Mr. </w:t>
      </w:r>
      <w:r w:rsidRPr="00281428">
        <w:rPr>
          <w:rFonts w:eastAsia="Times New Roman"/>
          <w:szCs w:val="24"/>
        </w:rPr>
        <w:t>John Gaccione (Westchester Co</w:t>
      </w:r>
      <w:r w:rsidR="00C75F21">
        <w:rPr>
          <w:rFonts w:eastAsia="Times New Roman"/>
          <w:szCs w:val="24"/>
        </w:rPr>
        <w:t>.</w:t>
      </w:r>
      <w:r w:rsidRPr="00281428">
        <w:rPr>
          <w:rFonts w:eastAsia="Times New Roman"/>
          <w:szCs w:val="24"/>
        </w:rPr>
        <w:t xml:space="preserve">, </w:t>
      </w:r>
      <w:r w:rsidR="00C75F21">
        <w:rPr>
          <w:rFonts w:eastAsia="Times New Roman"/>
          <w:szCs w:val="24"/>
        </w:rPr>
        <w:t>NY</w:t>
      </w:r>
      <w:r w:rsidRPr="00281428">
        <w:rPr>
          <w:rFonts w:eastAsia="Times New Roman"/>
          <w:szCs w:val="24"/>
        </w:rPr>
        <w:t>) commented that he agrees with Mr. Sikula and believes there has never been a clear distinction between regulation and consumer protection.</w:t>
      </w:r>
      <w:r w:rsidR="00976CCF" w:rsidRPr="00281428">
        <w:rPr>
          <w:rFonts w:eastAsia="Times New Roman"/>
          <w:szCs w:val="24"/>
        </w:rPr>
        <w:t xml:space="preserve"> </w:t>
      </w:r>
      <w:r w:rsidRPr="00281428">
        <w:rPr>
          <w:rFonts w:eastAsia="Times New Roman"/>
          <w:szCs w:val="24"/>
        </w:rPr>
        <w:t xml:space="preserve"> Mr. Gaccione believes there are ambiguous definitions, including the word “obsolete” and this should be further vetted as a Developing item.  Mr. Gaccione believes clarification on the definition of the term obsolete is defined as, when it takes effect, and to explain when it is applicable. </w:t>
      </w:r>
      <w:r w:rsidR="00976CCF" w:rsidRPr="00281428">
        <w:rPr>
          <w:rFonts w:eastAsia="Times New Roman"/>
          <w:szCs w:val="24"/>
        </w:rPr>
        <w:t xml:space="preserve"> Mr. </w:t>
      </w:r>
      <w:r w:rsidRPr="00281428">
        <w:rPr>
          <w:rFonts w:eastAsia="Times New Roman"/>
          <w:szCs w:val="24"/>
        </w:rPr>
        <w:t xml:space="preserve">Warfield commented that she believes it is when the engine manufacturer determines it is obsolete. </w:t>
      </w:r>
      <w:r w:rsidR="00976CCF" w:rsidRPr="00281428">
        <w:rPr>
          <w:rFonts w:eastAsia="Times New Roman"/>
          <w:szCs w:val="24"/>
        </w:rPr>
        <w:t xml:space="preserve"> </w:t>
      </w:r>
      <w:r w:rsidRPr="00281428">
        <w:rPr>
          <w:rFonts w:eastAsia="Times New Roman"/>
          <w:szCs w:val="24"/>
        </w:rPr>
        <w:t xml:space="preserve">Mr. Sikula believes this item could put regulators in an awkward position. </w:t>
      </w:r>
      <w:r w:rsidR="00976CCF" w:rsidRPr="00281428">
        <w:rPr>
          <w:rFonts w:eastAsia="Times New Roman"/>
          <w:szCs w:val="24"/>
        </w:rPr>
        <w:t xml:space="preserve"> Mr. </w:t>
      </w:r>
      <w:r w:rsidRPr="00281428">
        <w:rPr>
          <w:rFonts w:eastAsia="Times New Roman"/>
          <w:szCs w:val="24"/>
        </w:rPr>
        <w:t>Jeffrey Leiter (ILMA) commented that ILMA is in the process of gathering information on this item</w:t>
      </w:r>
      <w:r w:rsidR="00976CCF" w:rsidRPr="00281428">
        <w:rPr>
          <w:rFonts w:eastAsia="Times New Roman"/>
          <w:szCs w:val="24"/>
        </w:rPr>
        <w:t xml:space="preserve"> to see if </w:t>
      </w:r>
      <w:r w:rsidRPr="00281428">
        <w:rPr>
          <w:rFonts w:eastAsia="Times New Roman"/>
          <w:szCs w:val="24"/>
        </w:rPr>
        <w:t>there is currently any concern in the marketplace is attempting to gather information from the industry.  The Committee recommends this item be moved forward as a Developing item and asks the submitter to address the comments made during NEWMA open hearings.</w:t>
      </w:r>
    </w:p>
    <w:p w14:paraId="6C9C3E68" w14:textId="7692D630" w:rsidR="00A157AD" w:rsidRPr="00281428" w:rsidRDefault="00A157AD" w:rsidP="00A157AD">
      <w:pPr>
        <w:pStyle w:val="TableParagraph"/>
        <w:spacing w:after="240"/>
        <w:ind w:left="0" w:right="95"/>
        <w:jc w:val="both"/>
        <w:rPr>
          <w:sz w:val="20"/>
          <w:szCs w:val="20"/>
        </w:rPr>
      </w:pPr>
      <w:r w:rsidRPr="00281428">
        <w:rPr>
          <w:sz w:val="20"/>
          <w:szCs w:val="20"/>
          <w:u w:val="single"/>
        </w:rPr>
        <w:t>CWMA 2020 Interim Meeting:</w:t>
      </w:r>
      <w:r w:rsidRPr="00281428">
        <w:rPr>
          <w:sz w:val="20"/>
          <w:szCs w:val="20"/>
        </w:rPr>
        <w:t xml:space="preserve">  Ms. Joanna Johnson (Automotive Oil Change Association</w:t>
      </w:r>
      <w:r w:rsidR="00316FEF" w:rsidRPr="00281428">
        <w:rPr>
          <w:sz w:val="20"/>
          <w:szCs w:val="20"/>
        </w:rPr>
        <w:t xml:space="preserve"> [AOCA]</w:t>
      </w:r>
      <w:r w:rsidRPr="00281428">
        <w:rPr>
          <w:sz w:val="20"/>
          <w:szCs w:val="20"/>
        </w:rPr>
        <w:t xml:space="preserve">) commented that this should remain a </w:t>
      </w:r>
      <w:r w:rsidR="00976CCF" w:rsidRPr="00281428">
        <w:rPr>
          <w:sz w:val="20"/>
          <w:szCs w:val="20"/>
        </w:rPr>
        <w:t>D</w:t>
      </w:r>
      <w:r w:rsidRPr="00281428">
        <w:rPr>
          <w:sz w:val="20"/>
          <w:szCs w:val="20"/>
        </w:rPr>
        <w:t xml:space="preserve">eveloping item. </w:t>
      </w:r>
      <w:r w:rsidR="00976CCF" w:rsidRPr="00281428">
        <w:rPr>
          <w:sz w:val="20"/>
          <w:szCs w:val="20"/>
        </w:rPr>
        <w:t xml:space="preserve"> </w:t>
      </w:r>
      <w:r w:rsidRPr="00281428">
        <w:rPr>
          <w:sz w:val="20"/>
          <w:szCs w:val="20"/>
        </w:rPr>
        <w:t>There are several facets of this item that require further discussion. engine oil and transmission fluid terminology</w:t>
      </w:r>
      <w:r w:rsidRPr="00281428">
        <w:rPr>
          <w:spacing w:val="-6"/>
          <w:sz w:val="20"/>
          <w:szCs w:val="20"/>
        </w:rPr>
        <w:t xml:space="preserve"> </w:t>
      </w:r>
      <w:r w:rsidR="005E5636" w:rsidRPr="00281428">
        <w:rPr>
          <w:sz w:val="20"/>
          <w:szCs w:val="20"/>
        </w:rPr>
        <w:t>are</w:t>
      </w:r>
      <w:r w:rsidRPr="00281428">
        <w:rPr>
          <w:spacing w:val="-8"/>
          <w:sz w:val="20"/>
          <w:szCs w:val="20"/>
        </w:rPr>
        <w:t xml:space="preserve"> </w:t>
      </w:r>
      <w:r w:rsidRPr="00281428">
        <w:rPr>
          <w:sz w:val="20"/>
          <w:szCs w:val="20"/>
        </w:rPr>
        <w:t>not</w:t>
      </w:r>
      <w:r w:rsidRPr="00281428">
        <w:rPr>
          <w:spacing w:val="-8"/>
          <w:sz w:val="20"/>
          <w:szCs w:val="20"/>
        </w:rPr>
        <w:t xml:space="preserve"> </w:t>
      </w:r>
      <w:r w:rsidRPr="00281428">
        <w:rPr>
          <w:sz w:val="20"/>
          <w:szCs w:val="20"/>
        </w:rPr>
        <w:t>necessarily</w:t>
      </w:r>
      <w:r w:rsidRPr="00281428">
        <w:rPr>
          <w:spacing w:val="-5"/>
          <w:sz w:val="20"/>
          <w:szCs w:val="20"/>
        </w:rPr>
        <w:t xml:space="preserve"> </w:t>
      </w:r>
      <w:r w:rsidRPr="00281428">
        <w:rPr>
          <w:sz w:val="20"/>
          <w:szCs w:val="20"/>
        </w:rPr>
        <w:t>consistent.</w:t>
      </w:r>
      <w:r w:rsidRPr="00281428">
        <w:rPr>
          <w:spacing w:val="40"/>
          <w:sz w:val="20"/>
          <w:szCs w:val="20"/>
        </w:rPr>
        <w:t xml:space="preserve"> </w:t>
      </w:r>
      <w:r w:rsidR="00976CCF" w:rsidRPr="00281428">
        <w:rPr>
          <w:spacing w:val="40"/>
          <w:sz w:val="20"/>
          <w:szCs w:val="20"/>
        </w:rPr>
        <w:t xml:space="preserve"> </w:t>
      </w:r>
      <w:r w:rsidRPr="00281428">
        <w:rPr>
          <w:sz w:val="20"/>
          <w:szCs w:val="20"/>
        </w:rPr>
        <w:t>Automakers</w:t>
      </w:r>
      <w:r w:rsidRPr="00281428">
        <w:rPr>
          <w:spacing w:val="-9"/>
          <w:sz w:val="20"/>
          <w:szCs w:val="20"/>
        </w:rPr>
        <w:t xml:space="preserve"> </w:t>
      </w:r>
      <w:r w:rsidRPr="00281428">
        <w:rPr>
          <w:sz w:val="20"/>
          <w:szCs w:val="20"/>
        </w:rPr>
        <w:t>have</w:t>
      </w:r>
      <w:r w:rsidRPr="00281428">
        <w:rPr>
          <w:spacing w:val="-8"/>
          <w:sz w:val="20"/>
          <w:szCs w:val="20"/>
        </w:rPr>
        <w:t xml:space="preserve"> </w:t>
      </w:r>
      <w:r w:rsidRPr="00281428">
        <w:rPr>
          <w:sz w:val="20"/>
          <w:szCs w:val="20"/>
        </w:rPr>
        <w:t>no</w:t>
      </w:r>
      <w:r w:rsidRPr="00281428">
        <w:rPr>
          <w:spacing w:val="-6"/>
          <w:sz w:val="20"/>
          <w:szCs w:val="20"/>
        </w:rPr>
        <w:t xml:space="preserve"> </w:t>
      </w:r>
      <w:r w:rsidRPr="00281428">
        <w:rPr>
          <w:sz w:val="20"/>
          <w:szCs w:val="20"/>
        </w:rPr>
        <w:t>history</w:t>
      </w:r>
      <w:r w:rsidRPr="00281428">
        <w:rPr>
          <w:spacing w:val="-7"/>
          <w:sz w:val="20"/>
          <w:szCs w:val="20"/>
        </w:rPr>
        <w:t xml:space="preserve"> </w:t>
      </w:r>
      <w:r w:rsidRPr="00281428">
        <w:rPr>
          <w:sz w:val="20"/>
          <w:szCs w:val="20"/>
        </w:rPr>
        <w:t>using</w:t>
      </w:r>
      <w:r w:rsidRPr="00281428">
        <w:rPr>
          <w:spacing w:val="-6"/>
          <w:sz w:val="20"/>
          <w:szCs w:val="20"/>
        </w:rPr>
        <w:t xml:space="preserve"> </w:t>
      </w:r>
      <w:r w:rsidRPr="00281428">
        <w:rPr>
          <w:sz w:val="20"/>
          <w:szCs w:val="20"/>
        </w:rPr>
        <w:t>this</w:t>
      </w:r>
      <w:r w:rsidRPr="00281428">
        <w:rPr>
          <w:spacing w:val="-8"/>
          <w:sz w:val="20"/>
          <w:szCs w:val="20"/>
        </w:rPr>
        <w:t xml:space="preserve"> </w:t>
      </w:r>
      <w:r w:rsidRPr="00281428">
        <w:rPr>
          <w:sz w:val="20"/>
          <w:szCs w:val="20"/>
        </w:rPr>
        <w:t>type</w:t>
      </w:r>
      <w:r w:rsidRPr="00281428">
        <w:rPr>
          <w:spacing w:val="-5"/>
          <w:sz w:val="20"/>
          <w:szCs w:val="20"/>
        </w:rPr>
        <w:t xml:space="preserve"> </w:t>
      </w:r>
      <w:r w:rsidRPr="00281428">
        <w:rPr>
          <w:sz w:val="20"/>
          <w:szCs w:val="20"/>
        </w:rPr>
        <w:t>of</w:t>
      </w:r>
      <w:r w:rsidRPr="00281428">
        <w:rPr>
          <w:spacing w:val="-6"/>
          <w:sz w:val="20"/>
          <w:szCs w:val="20"/>
        </w:rPr>
        <w:t xml:space="preserve"> </w:t>
      </w:r>
      <w:r w:rsidRPr="00281428">
        <w:rPr>
          <w:sz w:val="20"/>
          <w:szCs w:val="20"/>
        </w:rPr>
        <w:t>language</w:t>
      </w:r>
      <w:r w:rsidRPr="00281428">
        <w:rPr>
          <w:spacing w:val="-8"/>
          <w:sz w:val="20"/>
          <w:szCs w:val="20"/>
        </w:rPr>
        <w:t xml:space="preserve"> </w:t>
      </w:r>
      <w:r w:rsidRPr="00281428">
        <w:rPr>
          <w:sz w:val="20"/>
          <w:szCs w:val="20"/>
        </w:rPr>
        <w:t>for</w:t>
      </w:r>
      <w:r w:rsidRPr="00281428">
        <w:rPr>
          <w:spacing w:val="-7"/>
          <w:sz w:val="20"/>
          <w:szCs w:val="20"/>
        </w:rPr>
        <w:t xml:space="preserve"> </w:t>
      </w:r>
      <w:r w:rsidRPr="00281428">
        <w:rPr>
          <w:sz w:val="20"/>
          <w:szCs w:val="20"/>
        </w:rPr>
        <w:t xml:space="preserve">transmission fluid and wants to work with other stakeholders to develop language for consumer protection as the submitter intended. </w:t>
      </w:r>
      <w:r w:rsidR="00976CCF" w:rsidRPr="00281428">
        <w:rPr>
          <w:sz w:val="20"/>
          <w:szCs w:val="20"/>
        </w:rPr>
        <w:t xml:space="preserve"> </w:t>
      </w:r>
      <w:r w:rsidRPr="00281428">
        <w:rPr>
          <w:sz w:val="20"/>
          <w:szCs w:val="20"/>
        </w:rPr>
        <w:t xml:space="preserve">Mr. Aaron Lowe (Auto Care Association) representing auto part chains, agrees with Ms. </w:t>
      </w:r>
      <w:proofErr w:type="gramStart"/>
      <w:r w:rsidRPr="00281428">
        <w:rPr>
          <w:sz w:val="20"/>
          <w:szCs w:val="20"/>
        </w:rPr>
        <w:t>Johnson</w:t>
      </w:r>
      <w:proofErr w:type="gramEnd"/>
      <w:r w:rsidRPr="00281428">
        <w:rPr>
          <w:sz w:val="20"/>
          <w:szCs w:val="20"/>
        </w:rPr>
        <w:t xml:space="preserve"> and supports the general idea but needs more study. </w:t>
      </w:r>
      <w:r w:rsidR="00316FEF" w:rsidRPr="00281428">
        <w:rPr>
          <w:sz w:val="20"/>
          <w:szCs w:val="20"/>
        </w:rPr>
        <w:t xml:space="preserve"> </w:t>
      </w:r>
      <w:r w:rsidRPr="00281428">
        <w:rPr>
          <w:sz w:val="20"/>
          <w:szCs w:val="20"/>
        </w:rPr>
        <w:t xml:space="preserve">An average age for cars on the road currently is twelve-years and </w:t>
      </w:r>
      <w:r w:rsidR="00976CCF" w:rsidRPr="00281428">
        <w:rPr>
          <w:sz w:val="20"/>
          <w:szCs w:val="20"/>
        </w:rPr>
        <w:t>addition</w:t>
      </w:r>
      <w:r w:rsidR="00316FEF" w:rsidRPr="00281428">
        <w:rPr>
          <w:sz w:val="20"/>
          <w:szCs w:val="20"/>
        </w:rPr>
        <w:t>al</w:t>
      </w:r>
      <w:r w:rsidRPr="00281428">
        <w:rPr>
          <w:sz w:val="20"/>
          <w:szCs w:val="20"/>
        </w:rPr>
        <w:t xml:space="preserve"> study</w:t>
      </w:r>
      <w:r w:rsidR="00976CCF" w:rsidRPr="00281428">
        <w:rPr>
          <w:sz w:val="20"/>
          <w:szCs w:val="20"/>
        </w:rPr>
        <w:t xml:space="preserve"> is needed</w:t>
      </w:r>
      <w:r w:rsidRPr="00281428">
        <w:rPr>
          <w:sz w:val="20"/>
          <w:szCs w:val="20"/>
        </w:rPr>
        <w:t xml:space="preserve"> to develop language. </w:t>
      </w:r>
      <w:r w:rsidR="00976CCF" w:rsidRPr="00281428">
        <w:rPr>
          <w:sz w:val="20"/>
          <w:szCs w:val="20"/>
        </w:rPr>
        <w:t xml:space="preserve"> </w:t>
      </w:r>
      <w:r w:rsidRPr="00281428">
        <w:rPr>
          <w:sz w:val="20"/>
          <w:szCs w:val="20"/>
        </w:rPr>
        <w:t xml:space="preserve">Mr. Jeff Harmening (API) concurs with the above-mentioned comments. </w:t>
      </w:r>
      <w:r w:rsidR="00976CCF" w:rsidRPr="00281428">
        <w:rPr>
          <w:sz w:val="20"/>
          <w:szCs w:val="20"/>
        </w:rPr>
        <w:t xml:space="preserve"> </w:t>
      </w:r>
      <w:r w:rsidRPr="00281428">
        <w:rPr>
          <w:sz w:val="20"/>
          <w:szCs w:val="20"/>
        </w:rPr>
        <w:t>Mr. Charlie Stutesman (</w:t>
      </w:r>
      <w:r w:rsidR="002D6351">
        <w:rPr>
          <w:sz w:val="20"/>
          <w:szCs w:val="20"/>
        </w:rPr>
        <w:t>KS</w:t>
      </w:r>
      <w:r w:rsidRPr="00281428">
        <w:rPr>
          <w:sz w:val="20"/>
          <w:szCs w:val="20"/>
        </w:rPr>
        <w:t>) commented that this item has merit and should move forward as a developing item.</w:t>
      </w:r>
      <w:r w:rsidR="00976CCF" w:rsidRPr="00281428">
        <w:rPr>
          <w:sz w:val="20"/>
          <w:szCs w:val="20"/>
        </w:rPr>
        <w:t xml:space="preserve"> </w:t>
      </w:r>
      <w:r w:rsidRPr="00281428">
        <w:rPr>
          <w:sz w:val="20"/>
          <w:szCs w:val="20"/>
        </w:rPr>
        <w:t xml:space="preserve"> Mr. Ron Hayes (</w:t>
      </w:r>
      <w:r w:rsidR="002D6351">
        <w:rPr>
          <w:sz w:val="20"/>
          <w:szCs w:val="20"/>
        </w:rPr>
        <w:t>MO,</w:t>
      </w:r>
      <w:r w:rsidR="00316FEF" w:rsidRPr="00281428">
        <w:rPr>
          <w:sz w:val="20"/>
          <w:szCs w:val="20"/>
        </w:rPr>
        <w:t xml:space="preserve"> submitter</w:t>
      </w:r>
      <w:r w:rsidRPr="00281428">
        <w:rPr>
          <w:sz w:val="20"/>
          <w:szCs w:val="20"/>
        </w:rPr>
        <w:t>) commented that this item is intended</w:t>
      </w:r>
      <w:r w:rsidRPr="00281428">
        <w:rPr>
          <w:spacing w:val="-10"/>
          <w:sz w:val="20"/>
          <w:szCs w:val="20"/>
        </w:rPr>
        <w:t xml:space="preserve"> </w:t>
      </w:r>
      <w:r w:rsidRPr="00281428">
        <w:rPr>
          <w:sz w:val="20"/>
          <w:szCs w:val="20"/>
        </w:rPr>
        <w:t>to</w:t>
      </w:r>
      <w:r w:rsidRPr="00281428">
        <w:rPr>
          <w:spacing w:val="-10"/>
          <w:sz w:val="20"/>
          <w:szCs w:val="20"/>
        </w:rPr>
        <w:t xml:space="preserve"> </w:t>
      </w:r>
      <w:r w:rsidRPr="00281428">
        <w:rPr>
          <w:sz w:val="20"/>
          <w:szCs w:val="20"/>
        </w:rPr>
        <w:t>give</w:t>
      </w:r>
      <w:r w:rsidRPr="00281428">
        <w:rPr>
          <w:spacing w:val="-10"/>
          <w:sz w:val="20"/>
          <w:szCs w:val="20"/>
        </w:rPr>
        <w:t xml:space="preserve"> </w:t>
      </w:r>
      <w:r w:rsidRPr="00281428">
        <w:rPr>
          <w:sz w:val="20"/>
          <w:szCs w:val="20"/>
        </w:rPr>
        <w:t>consumer</w:t>
      </w:r>
      <w:r w:rsidRPr="00281428">
        <w:rPr>
          <w:spacing w:val="-10"/>
          <w:sz w:val="20"/>
          <w:szCs w:val="20"/>
        </w:rPr>
        <w:t xml:space="preserve"> </w:t>
      </w:r>
      <w:r w:rsidRPr="00281428">
        <w:rPr>
          <w:sz w:val="20"/>
          <w:szCs w:val="20"/>
        </w:rPr>
        <w:t>guidance</w:t>
      </w:r>
      <w:r w:rsidRPr="00281428">
        <w:rPr>
          <w:spacing w:val="-10"/>
          <w:sz w:val="20"/>
          <w:szCs w:val="20"/>
        </w:rPr>
        <w:t xml:space="preserve"> </w:t>
      </w:r>
      <w:r w:rsidR="002B2A28" w:rsidRPr="00281428">
        <w:rPr>
          <w:sz w:val="20"/>
          <w:szCs w:val="20"/>
        </w:rPr>
        <w:t>like</w:t>
      </w:r>
      <w:r w:rsidRPr="00281428">
        <w:rPr>
          <w:spacing w:val="-10"/>
          <w:sz w:val="20"/>
          <w:szCs w:val="20"/>
        </w:rPr>
        <w:t xml:space="preserve"> </w:t>
      </w:r>
      <w:r w:rsidRPr="00281428">
        <w:rPr>
          <w:sz w:val="20"/>
          <w:szCs w:val="20"/>
        </w:rPr>
        <w:t>other</w:t>
      </w:r>
      <w:r w:rsidRPr="00281428">
        <w:rPr>
          <w:spacing w:val="-10"/>
          <w:sz w:val="20"/>
          <w:szCs w:val="20"/>
        </w:rPr>
        <w:t xml:space="preserve"> </w:t>
      </w:r>
      <w:r w:rsidRPr="00281428">
        <w:rPr>
          <w:sz w:val="20"/>
          <w:szCs w:val="20"/>
        </w:rPr>
        <w:t>equipment</w:t>
      </w:r>
      <w:r w:rsidRPr="00281428">
        <w:rPr>
          <w:spacing w:val="-12"/>
          <w:sz w:val="20"/>
          <w:szCs w:val="20"/>
        </w:rPr>
        <w:t xml:space="preserve"> </w:t>
      </w:r>
      <w:r w:rsidRPr="00281428">
        <w:rPr>
          <w:sz w:val="20"/>
          <w:szCs w:val="20"/>
        </w:rPr>
        <w:t>fluids.</w:t>
      </w:r>
      <w:r w:rsidRPr="00281428">
        <w:rPr>
          <w:spacing w:val="30"/>
          <w:sz w:val="20"/>
          <w:szCs w:val="20"/>
        </w:rPr>
        <w:t xml:space="preserve"> </w:t>
      </w:r>
      <w:r w:rsidR="00976CCF" w:rsidRPr="00281428">
        <w:rPr>
          <w:spacing w:val="30"/>
          <w:sz w:val="20"/>
          <w:szCs w:val="20"/>
        </w:rPr>
        <w:t xml:space="preserve"> </w:t>
      </w:r>
      <w:r w:rsidR="002D6351">
        <w:rPr>
          <w:sz w:val="20"/>
          <w:szCs w:val="20"/>
        </w:rPr>
        <w:t>Mr. Hayes</w:t>
      </w:r>
      <w:r w:rsidRPr="00281428">
        <w:rPr>
          <w:spacing w:val="-10"/>
          <w:sz w:val="20"/>
          <w:szCs w:val="20"/>
        </w:rPr>
        <w:t xml:space="preserve"> </w:t>
      </w:r>
      <w:r w:rsidRPr="00281428">
        <w:rPr>
          <w:sz w:val="20"/>
          <w:szCs w:val="20"/>
        </w:rPr>
        <w:t>intends</w:t>
      </w:r>
      <w:r w:rsidRPr="00281428">
        <w:rPr>
          <w:spacing w:val="-11"/>
          <w:sz w:val="20"/>
          <w:szCs w:val="20"/>
        </w:rPr>
        <w:t xml:space="preserve"> </w:t>
      </w:r>
      <w:r w:rsidRPr="00281428">
        <w:rPr>
          <w:sz w:val="20"/>
          <w:szCs w:val="20"/>
        </w:rPr>
        <w:t>to</w:t>
      </w:r>
      <w:r w:rsidRPr="00281428">
        <w:rPr>
          <w:spacing w:val="-10"/>
          <w:sz w:val="20"/>
          <w:szCs w:val="20"/>
        </w:rPr>
        <w:t xml:space="preserve"> </w:t>
      </w:r>
      <w:r w:rsidRPr="00281428">
        <w:rPr>
          <w:sz w:val="20"/>
          <w:szCs w:val="20"/>
        </w:rPr>
        <w:t>continue</w:t>
      </w:r>
      <w:r w:rsidRPr="00281428">
        <w:rPr>
          <w:spacing w:val="-10"/>
          <w:sz w:val="20"/>
          <w:szCs w:val="20"/>
        </w:rPr>
        <w:t xml:space="preserve"> </w:t>
      </w:r>
      <w:r w:rsidRPr="00281428">
        <w:rPr>
          <w:sz w:val="20"/>
          <w:szCs w:val="20"/>
        </w:rPr>
        <w:t>to</w:t>
      </w:r>
      <w:r w:rsidRPr="00281428">
        <w:rPr>
          <w:spacing w:val="-10"/>
          <w:sz w:val="20"/>
          <w:szCs w:val="20"/>
        </w:rPr>
        <w:t xml:space="preserve"> </w:t>
      </w:r>
      <w:r w:rsidRPr="00281428">
        <w:rPr>
          <w:sz w:val="20"/>
          <w:szCs w:val="20"/>
        </w:rPr>
        <w:t>work</w:t>
      </w:r>
      <w:r w:rsidRPr="00281428">
        <w:rPr>
          <w:spacing w:val="-10"/>
          <w:sz w:val="20"/>
          <w:szCs w:val="20"/>
        </w:rPr>
        <w:t xml:space="preserve"> </w:t>
      </w:r>
      <w:r w:rsidRPr="00281428">
        <w:rPr>
          <w:sz w:val="20"/>
          <w:szCs w:val="20"/>
        </w:rPr>
        <w:t>with</w:t>
      </w:r>
      <w:r w:rsidRPr="00281428">
        <w:rPr>
          <w:spacing w:val="-10"/>
          <w:sz w:val="20"/>
          <w:szCs w:val="20"/>
        </w:rPr>
        <w:t xml:space="preserve"> </w:t>
      </w:r>
      <w:r w:rsidRPr="00281428">
        <w:rPr>
          <w:sz w:val="20"/>
          <w:szCs w:val="20"/>
        </w:rPr>
        <w:t xml:space="preserve">industry on this item including developing a list of obsolete oils. </w:t>
      </w:r>
      <w:r w:rsidR="00976CCF" w:rsidRPr="00281428">
        <w:rPr>
          <w:sz w:val="20"/>
          <w:szCs w:val="20"/>
        </w:rPr>
        <w:t xml:space="preserve"> </w:t>
      </w:r>
      <w:r w:rsidRPr="00281428">
        <w:rPr>
          <w:sz w:val="20"/>
          <w:szCs w:val="20"/>
        </w:rPr>
        <w:t>Mr. Jeff Leiter (ILMA) submitted written comments that were</w:t>
      </w:r>
      <w:r w:rsidRPr="00281428">
        <w:rPr>
          <w:spacing w:val="-11"/>
          <w:sz w:val="20"/>
          <w:szCs w:val="20"/>
        </w:rPr>
        <w:t xml:space="preserve"> </w:t>
      </w:r>
      <w:r w:rsidRPr="00281428">
        <w:rPr>
          <w:sz w:val="20"/>
          <w:szCs w:val="20"/>
        </w:rPr>
        <w:t>reviewed</w:t>
      </w:r>
      <w:r w:rsidRPr="00281428">
        <w:rPr>
          <w:spacing w:val="-13"/>
          <w:sz w:val="20"/>
          <w:szCs w:val="20"/>
        </w:rPr>
        <w:t xml:space="preserve"> </w:t>
      </w:r>
      <w:r w:rsidRPr="00281428">
        <w:rPr>
          <w:sz w:val="20"/>
          <w:szCs w:val="20"/>
        </w:rPr>
        <w:t>by</w:t>
      </w:r>
      <w:r w:rsidRPr="00281428">
        <w:rPr>
          <w:spacing w:val="-10"/>
          <w:sz w:val="20"/>
          <w:szCs w:val="20"/>
        </w:rPr>
        <w:t xml:space="preserve"> </w:t>
      </w:r>
      <w:r w:rsidRPr="00281428">
        <w:rPr>
          <w:sz w:val="20"/>
          <w:szCs w:val="20"/>
        </w:rPr>
        <w:t>the</w:t>
      </w:r>
      <w:r w:rsidRPr="00281428">
        <w:rPr>
          <w:spacing w:val="-11"/>
          <w:sz w:val="20"/>
          <w:szCs w:val="20"/>
        </w:rPr>
        <w:t xml:space="preserve"> </w:t>
      </w:r>
      <w:r w:rsidRPr="00281428">
        <w:rPr>
          <w:sz w:val="20"/>
          <w:szCs w:val="20"/>
        </w:rPr>
        <w:t>Committee.</w:t>
      </w:r>
      <w:r w:rsidR="00976CCF" w:rsidRPr="00281428">
        <w:rPr>
          <w:sz w:val="20"/>
          <w:szCs w:val="20"/>
        </w:rPr>
        <w:t xml:space="preserve"> </w:t>
      </w:r>
      <w:r w:rsidRPr="00281428">
        <w:rPr>
          <w:spacing w:val="32"/>
          <w:sz w:val="20"/>
          <w:szCs w:val="20"/>
        </w:rPr>
        <w:t xml:space="preserve"> </w:t>
      </w:r>
      <w:r w:rsidRPr="00281428">
        <w:rPr>
          <w:sz w:val="20"/>
          <w:szCs w:val="20"/>
        </w:rPr>
        <w:t>Ms.</w:t>
      </w:r>
      <w:r w:rsidRPr="00281428">
        <w:rPr>
          <w:spacing w:val="-11"/>
          <w:sz w:val="20"/>
          <w:szCs w:val="20"/>
        </w:rPr>
        <w:t xml:space="preserve"> </w:t>
      </w:r>
      <w:r w:rsidRPr="00281428">
        <w:rPr>
          <w:sz w:val="20"/>
          <w:szCs w:val="20"/>
        </w:rPr>
        <w:t>Lisa</w:t>
      </w:r>
      <w:r w:rsidRPr="00281428">
        <w:rPr>
          <w:spacing w:val="-11"/>
          <w:sz w:val="20"/>
          <w:szCs w:val="20"/>
        </w:rPr>
        <w:t xml:space="preserve"> </w:t>
      </w:r>
      <w:r w:rsidRPr="00281428">
        <w:rPr>
          <w:sz w:val="20"/>
          <w:szCs w:val="20"/>
        </w:rPr>
        <w:t>Warfield</w:t>
      </w:r>
      <w:r w:rsidRPr="00281428">
        <w:rPr>
          <w:spacing w:val="-9"/>
          <w:sz w:val="20"/>
          <w:szCs w:val="20"/>
        </w:rPr>
        <w:t xml:space="preserve"> </w:t>
      </w:r>
      <w:r w:rsidRPr="00281428">
        <w:rPr>
          <w:sz w:val="20"/>
          <w:szCs w:val="20"/>
        </w:rPr>
        <w:t>(NIST</w:t>
      </w:r>
      <w:r w:rsidR="002D6351">
        <w:rPr>
          <w:sz w:val="20"/>
          <w:szCs w:val="20"/>
        </w:rPr>
        <w:t xml:space="preserve"> OWM</w:t>
      </w:r>
      <w:r w:rsidRPr="00281428">
        <w:rPr>
          <w:sz w:val="20"/>
          <w:szCs w:val="20"/>
        </w:rPr>
        <w:t>)</w:t>
      </w:r>
      <w:r w:rsidRPr="00281428">
        <w:rPr>
          <w:spacing w:val="-15"/>
          <w:sz w:val="20"/>
          <w:szCs w:val="20"/>
        </w:rPr>
        <w:t xml:space="preserve"> </w:t>
      </w:r>
      <w:r w:rsidRPr="00281428">
        <w:rPr>
          <w:sz w:val="20"/>
          <w:szCs w:val="20"/>
        </w:rPr>
        <w:t>asked</w:t>
      </w:r>
      <w:r w:rsidRPr="00281428">
        <w:rPr>
          <w:spacing w:val="-10"/>
          <w:sz w:val="20"/>
          <w:szCs w:val="20"/>
        </w:rPr>
        <w:t xml:space="preserve"> </w:t>
      </w:r>
      <w:r w:rsidRPr="00281428">
        <w:rPr>
          <w:sz w:val="20"/>
          <w:szCs w:val="20"/>
        </w:rPr>
        <w:t>if</w:t>
      </w:r>
      <w:r w:rsidRPr="00281428">
        <w:rPr>
          <w:spacing w:val="-10"/>
          <w:sz w:val="20"/>
          <w:szCs w:val="20"/>
        </w:rPr>
        <w:t xml:space="preserve"> </w:t>
      </w:r>
      <w:r w:rsidRPr="00281428">
        <w:rPr>
          <w:sz w:val="20"/>
          <w:szCs w:val="20"/>
        </w:rPr>
        <w:t>the</w:t>
      </w:r>
      <w:r w:rsidRPr="00281428">
        <w:rPr>
          <w:spacing w:val="-14"/>
          <w:sz w:val="20"/>
          <w:szCs w:val="20"/>
        </w:rPr>
        <w:t xml:space="preserve"> </w:t>
      </w:r>
      <w:r w:rsidRPr="00281428">
        <w:rPr>
          <w:sz w:val="20"/>
          <w:szCs w:val="20"/>
        </w:rPr>
        <w:t>submitter</w:t>
      </w:r>
      <w:r w:rsidRPr="00281428">
        <w:rPr>
          <w:spacing w:val="-10"/>
          <w:sz w:val="20"/>
          <w:szCs w:val="20"/>
        </w:rPr>
        <w:t xml:space="preserve"> </w:t>
      </w:r>
      <w:r w:rsidRPr="00281428">
        <w:rPr>
          <w:sz w:val="20"/>
          <w:szCs w:val="20"/>
        </w:rPr>
        <w:t>wishes</w:t>
      </w:r>
      <w:r w:rsidRPr="00281428">
        <w:rPr>
          <w:spacing w:val="-12"/>
          <w:sz w:val="20"/>
          <w:szCs w:val="20"/>
        </w:rPr>
        <w:t xml:space="preserve"> </w:t>
      </w:r>
      <w:r w:rsidRPr="00281428">
        <w:rPr>
          <w:sz w:val="20"/>
          <w:szCs w:val="20"/>
        </w:rPr>
        <w:t>the</w:t>
      </w:r>
      <w:r w:rsidRPr="00281428">
        <w:rPr>
          <w:spacing w:val="-11"/>
          <w:sz w:val="20"/>
          <w:szCs w:val="20"/>
        </w:rPr>
        <w:t xml:space="preserve"> </w:t>
      </w:r>
      <w:r w:rsidRPr="00281428">
        <w:rPr>
          <w:sz w:val="20"/>
          <w:szCs w:val="20"/>
        </w:rPr>
        <w:t>item</w:t>
      </w:r>
      <w:r w:rsidRPr="00281428">
        <w:rPr>
          <w:spacing w:val="-10"/>
          <w:sz w:val="20"/>
          <w:szCs w:val="20"/>
        </w:rPr>
        <w:t xml:space="preserve"> </w:t>
      </w:r>
      <w:r w:rsidRPr="00281428">
        <w:rPr>
          <w:sz w:val="20"/>
          <w:szCs w:val="20"/>
        </w:rPr>
        <w:t>to</w:t>
      </w:r>
      <w:r w:rsidRPr="00281428">
        <w:rPr>
          <w:spacing w:val="-13"/>
          <w:sz w:val="20"/>
          <w:szCs w:val="20"/>
        </w:rPr>
        <w:t xml:space="preserve"> </w:t>
      </w:r>
      <w:r w:rsidRPr="00281428">
        <w:rPr>
          <w:sz w:val="20"/>
          <w:szCs w:val="20"/>
        </w:rPr>
        <w:t>be</w:t>
      </w:r>
      <w:r w:rsidRPr="00281428">
        <w:rPr>
          <w:spacing w:val="-10"/>
          <w:sz w:val="20"/>
          <w:szCs w:val="20"/>
        </w:rPr>
        <w:t xml:space="preserve"> </w:t>
      </w:r>
      <w:r w:rsidR="00976CCF" w:rsidRPr="00281428">
        <w:rPr>
          <w:sz w:val="20"/>
          <w:szCs w:val="20"/>
        </w:rPr>
        <w:t xml:space="preserve">developed </w:t>
      </w:r>
      <w:r w:rsidRPr="00281428">
        <w:rPr>
          <w:sz w:val="20"/>
          <w:szCs w:val="20"/>
        </w:rPr>
        <w:t xml:space="preserve">through FALS. </w:t>
      </w:r>
      <w:r w:rsidR="00976CCF" w:rsidRPr="00281428">
        <w:rPr>
          <w:sz w:val="20"/>
          <w:szCs w:val="20"/>
        </w:rPr>
        <w:t xml:space="preserve"> </w:t>
      </w:r>
      <w:r w:rsidRPr="00281428">
        <w:rPr>
          <w:sz w:val="20"/>
          <w:szCs w:val="20"/>
        </w:rPr>
        <w:t>Mr. Hayes agrees that the item is developing and should be assigned to FALS for further review.</w:t>
      </w:r>
      <w:r w:rsidRPr="00281428">
        <w:rPr>
          <w:spacing w:val="22"/>
          <w:sz w:val="20"/>
          <w:szCs w:val="20"/>
        </w:rPr>
        <w:t xml:space="preserve"> </w:t>
      </w:r>
      <w:r w:rsidR="00976CCF" w:rsidRPr="00281428">
        <w:rPr>
          <w:spacing w:val="22"/>
          <w:sz w:val="20"/>
          <w:szCs w:val="20"/>
        </w:rPr>
        <w:t xml:space="preserve"> </w:t>
      </w:r>
      <w:r w:rsidRPr="00281428">
        <w:rPr>
          <w:sz w:val="20"/>
          <w:szCs w:val="20"/>
        </w:rPr>
        <w:t>Based</w:t>
      </w:r>
      <w:r w:rsidRPr="00281428">
        <w:rPr>
          <w:spacing w:val="11"/>
          <w:sz w:val="20"/>
          <w:szCs w:val="20"/>
        </w:rPr>
        <w:t xml:space="preserve"> </w:t>
      </w:r>
      <w:r w:rsidRPr="00281428">
        <w:rPr>
          <w:sz w:val="20"/>
          <w:szCs w:val="20"/>
        </w:rPr>
        <w:t>on</w:t>
      </w:r>
      <w:r w:rsidRPr="00281428">
        <w:rPr>
          <w:spacing w:val="8"/>
          <w:sz w:val="20"/>
          <w:szCs w:val="20"/>
        </w:rPr>
        <w:t xml:space="preserve"> </w:t>
      </w:r>
      <w:r w:rsidRPr="00281428">
        <w:rPr>
          <w:sz w:val="20"/>
          <w:szCs w:val="20"/>
        </w:rPr>
        <w:t>discussions</w:t>
      </w:r>
      <w:r w:rsidRPr="00281428">
        <w:rPr>
          <w:spacing w:val="9"/>
          <w:sz w:val="20"/>
          <w:szCs w:val="20"/>
        </w:rPr>
        <w:t xml:space="preserve"> </w:t>
      </w:r>
      <w:r w:rsidRPr="00281428">
        <w:rPr>
          <w:sz w:val="20"/>
          <w:szCs w:val="20"/>
        </w:rPr>
        <w:t>during</w:t>
      </w:r>
      <w:r w:rsidRPr="00281428">
        <w:rPr>
          <w:spacing w:val="11"/>
          <w:sz w:val="20"/>
          <w:szCs w:val="20"/>
        </w:rPr>
        <w:t xml:space="preserve"> </w:t>
      </w:r>
      <w:r w:rsidRPr="00281428">
        <w:rPr>
          <w:sz w:val="20"/>
          <w:szCs w:val="20"/>
        </w:rPr>
        <w:t>open</w:t>
      </w:r>
      <w:r w:rsidRPr="00281428">
        <w:rPr>
          <w:spacing w:val="11"/>
          <w:sz w:val="20"/>
          <w:szCs w:val="20"/>
        </w:rPr>
        <w:t xml:space="preserve"> </w:t>
      </w:r>
      <w:r w:rsidRPr="00281428">
        <w:rPr>
          <w:sz w:val="20"/>
          <w:szCs w:val="20"/>
        </w:rPr>
        <w:t>hearings</w:t>
      </w:r>
      <w:r w:rsidRPr="00281428">
        <w:rPr>
          <w:spacing w:val="9"/>
          <w:sz w:val="20"/>
          <w:szCs w:val="20"/>
        </w:rPr>
        <w:t xml:space="preserve"> </w:t>
      </w:r>
      <w:r w:rsidRPr="00281428">
        <w:rPr>
          <w:sz w:val="20"/>
          <w:szCs w:val="20"/>
        </w:rPr>
        <w:t>and</w:t>
      </w:r>
      <w:r w:rsidRPr="00281428">
        <w:rPr>
          <w:spacing w:val="11"/>
          <w:sz w:val="20"/>
          <w:szCs w:val="20"/>
        </w:rPr>
        <w:t xml:space="preserve"> </w:t>
      </w:r>
      <w:r w:rsidRPr="00281428">
        <w:rPr>
          <w:sz w:val="20"/>
          <w:szCs w:val="20"/>
        </w:rPr>
        <w:t>the</w:t>
      </w:r>
      <w:r w:rsidRPr="00281428">
        <w:rPr>
          <w:spacing w:val="10"/>
          <w:sz w:val="20"/>
          <w:szCs w:val="20"/>
        </w:rPr>
        <w:t xml:space="preserve"> </w:t>
      </w:r>
      <w:r w:rsidRPr="00281428">
        <w:rPr>
          <w:sz w:val="20"/>
          <w:szCs w:val="20"/>
        </w:rPr>
        <w:t>Committee</w:t>
      </w:r>
      <w:r w:rsidRPr="00281428">
        <w:rPr>
          <w:spacing w:val="10"/>
          <w:sz w:val="20"/>
          <w:szCs w:val="20"/>
        </w:rPr>
        <w:t xml:space="preserve"> </w:t>
      </w:r>
      <w:r w:rsidRPr="00281428">
        <w:rPr>
          <w:sz w:val="20"/>
          <w:szCs w:val="20"/>
        </w:rPr>
        <w:t>work</w:t>
      </w:r>
      <w:r w:rsidRPr="00281428">
        <w:rPr>
          <w:spacing w:val="8"/>
          <w:sz w:val="20"/>
          <w:szCs w:val="20"/>
        </w:rPr>
        <w:t xml:space="preserve"> </w:t>
      </w:r>
      <w:r w:rsidRPr="00281428">
        <w:rPr>
          <w:sz w:val="20"/>
          <w:szCs w:val="20"/>
        </w:rPr>
        <w:t>session,</w:t>
      </w:r>
      <w:r w:rsidRPr="00281428">
        <w:rPr>
          <w:spacing w:val="11"/>
          <w:sz w:val="20"/>
          <w:szCs w:val="20"/>
        </w:rPr>
        <w:t xml:space="preserve"> </w:t>
      </w:r>
      <w:r w:rsidRPr="00281428">
        <w:rPr>
          <w:sz w:val="20"/>
          <w:szCs w:val="20"/>
        </w:rPr>
        <w:t>the</w:t>
      </w:r>
      <w:r w:rsidRPr="00281428">
        <w:rPr>
          <w:spacing w:val="10"/>
          <w:sz w:val="20"/>
          <w:szCs w:val="20"/>
        </w:rPr>
        <w:t xml:space="preserve"> </w:t>
      </w:r>
      <w:r w:rsidRPr="00281428">
        <w:rPr>
          <w:sz w:val="20"/>
          <w:szCs w:val="20"/>
        </w:rPr>
        <w:t xml:space="preserve">Committee recommends the item </w:t>
      </w:r>
      <w:r w:rsidR="00976CCF" w:rsidRPr="00281428">
        <w:rPr>
          <w:sz w:val="20"/>
          <w:szCs w:val="20"/>
        </w:rPr>
        <w:t>be</w:t>
      </w:r>
      <w:r w:rsidRPr="00281428">
        <w:rPr>
          <w:sz w:val="20"/>
          <w:szCs w:val="20"/>
        </w:rPr>
        <w:t xml:space="preserve"> Assigned and be referred to FALS.</w:t>
      </w:r>
    </w:p>
    <w:p w14:paraId="56B27263" w14:textId="3347DE6C" w:rsidR="005A6E90" w:rsidRPr="00281428" w:rsidRDefault="005A6E90" w:rsidP="00A157AD">
      <w:pPr>
        <w:rPr>
          <w:bCs/>
        </w:rPr>
      </w:pPr>
      <w:r w:rsidRPr="00281428">
        <w:rPr>
          <w:bCs/>
        </w:rPr>
        <w:t xml:space="preserve">Additional letters, presentation and data may have been submitted for consideration with this item. Please refer to </w:t>
      </w:r>
      <w:hyperlink r:id="rId34" w:history="1">
        <w:r w:rsidR="00211511" w:rsidRPr="00A766AF">
          <w:rPr>
            <w:rStyle w:val="Hyperlink"/>
            <w:noProof w:val="0"/>
            <w:color w:val="0000FF"/>
          </w:rPr>
          <w:t>https://www.ncwm.com/publication-16</w:t>
        </w:r>
      </w:hyperlink>
      <w:r w:rsidR="006D2229" w:rsidRPr="00281428">
        <w:rPr>
          <w:rFonts w:ascii="Times New Roman Bold" w:hAnsi="Times New Roman Bold"/>
          <w:b/>
          <w:bCs/>
        </w:rPr>
        <w:t xml:space="preserve"> </w:t>
      </w:r>
      <w:r w:rsidRPr="00281428">
        <w:rPr>
          <w:bCs/>
        </w:rPr>
        <w:t>to review these documents</w:t>
      </w:r>
      <w:r w:rsidR="00CF3F44" w:rsidRPr="00281428">
        <w:rPr>
          <w:bCs/>
        </w:rPr>
        <w:t>.</w:t>
      </w:r>
    </w:p>
    <w:p w14:paraId="790C2071" w14:textId="4CAF611C" w:rsidR="00CF3F44" w:rsidRPr="00281428" w:rsidRDefault="00CF3F44" w:rsidP="00CF3F44">
      <w:pPr>
        <w:pStyle w:val="Heading1"/>
        <w:keepNext w:val="0"/>
        <w:keepLines w:val="0"/>
      </w:pPr>
      <w:bookmarkStart w:id="157" w:name="_Toc65741454"/>
      <w:r w:rsidRPr="00281428">
        <w:t xml:space="preserve">ITEM Block </w:t>
      </w:r>
      <w:r w:rsidR="00FF7682" w:rsidRPr="00281428">
        <w:t>7</w:t>
      </w:r>
      <w:r w:rsidRPr="00281428">
        <w:t xml:space="preserve"> (B</w:t>
      </w:r>
      <w:r w:rsidR="00FF7682" w:rsidRPr="00281428">
        <w:t>7</w:t>
      </w:r>
      <w:r w:rsidRPr="00281428">
        <w:t>)</w:t>
      </w:r>
      <w:r w:rsidRPr="00281428">
        <w:tab/>
        <w:t>tractor hydraulic Fluid</w:t>
      </w:r>
      <w:bookmarkEnd w:id="157"/>
      <w:r w:rsidRPr="00281428">
        <w:t xml:space="preserve"> </w:t>
      </w:r>
      <w:r w:rsidRPr="00281428" w:rsidDel="003F7F6D">
        <w:t xml:space="preserve"> </w:t>
      </w:r>
    </w:p>
    <w:p w14:paraId="61458BCE" w14:textId="661C128D" w:rsidR="00CF3F44" w:rsidRPr="00281428" w:rsidRDefault="00CF3F44" w:rsidP="00CF3F44">
      <w:pPr>
        <w:tabs>
          <w:tab w:val="left" w:pos="1440"/>
        </w:tabs>
        <w:spacing w:after="0"/>
        <w:ind w:left="1800" w:hanging="1800"/>
        <w:outlineLvl w:val="3"/>
        <w:rPr>
          <w:rFonts w:eastAsia="Times New Roman"/>
          <w:bCs/>
          <w:iCs/>
        </w:rPr>
      </w:pPr>
      <w:r w:rsidRPr="00281428">
        <w:rPr>
          <w:rFonts w:eastAsia="Times New Roman"/>
          <w:bCs/>
          <w:iCs/>
        </w:rPr>
        <w:t>B</w:t>
      </w:r>
      <w:r w:rsidR="00121994" w:rsidRPr="00281428">
        <w:rPr>
          <w:rFonts w:eastAsia="Times New Roman"/>
          <w:bCs/>
          <w:iCs/>
        </w:rPr>
        <w:t>7</w:t>
      </w:r>
      <w:r w:rsidRPr="00281428">
        <w:rPr>
          <w:rFonts w:eastAsia="Times New Roman"/>
          <w:bCs/>
          <w:iCs/>
        </w:rPr>
        <w:t>: MOS-21.2</w:t>
      </w:r>
      <w:r w:rsidRPr="00281428">
        <w:rPr>
          <w:rFonts w:eastAsia="Times New Roman"/>
          <w:bCs/>
          <w:iCs/>
        </w:rPr>
        <w:tab/>
      </w:r>
      <w:r w:rsidR="009049C3" w:rsidRPr="00281428">
        <w:rPr>
          <w:rFonts w:eastAsia="Times New Roman"/>
          <w:bCs/>
          <w:iCs/>
        </w:rPr>
        <w:t>V</w:t>
      </w:r>
      <w:r w:rsidRPr="00281428">
        <w:rPr>
          <w:rFonts w:eastAsia="Times New Roman"/>
          <w:bCs/>
          <w:iCs/>
        </w:rPr>
        <w:tab/>
        <w:t>Section 2.3</w:t>
      </w:r>
      <w:r w:rsidR="00C0568F" w:rsidRPr="00281428">
        <w:rPr>
          <w:rFonts w:eastAsia="Times New Roman"/>
          <w:bCs/>
          <w:iCs/>
        </w:rPr>
        <w:t>9</w:t>
      </w:r>
      <w:r w:rsidRPr="00281428">
        <w:rPr>
          <w:rFonts w:eastAsia="Times New Roman"/>
          <w:bCs/>
          <w:iCs/>
        </w:rPr>
        <w:t>.2. Labeling and Identification of Tractor Hydraulic Fluid</w:t>
      </w:r>
    </w:p>
    <w:p w14:paraId="4411484F" w14:textId="6DFC8295" w:rsidR="00CF3F44" w:rsidRPr="00281428" w:rsidRDefault="00CF3F44" w:rsidP="00C0568F">
      <w:pPr>
        <w:tabs>
          <w:tab w:val="left" w:pos="446"/>
          <w:tab w:val="left" w:pos="1440"/>
        </w:tabs>
        <w:ind w:left="1800" w:hanging="1800"/>
        <w:outlineLvl w:val="3"/>
        <w:rPr>
          <w:rFonts w:eastAsia="Times New Roman"/>
          <w:bCs/>
          <w:iCs/>
        </w:rPr>
      </w:pPr>
      <w:r w:rsidRPr="00281428">
        <w:rPr>
          <w:rFonts w:eastAsia="Times New Roman"/>
          <w:bCs/>
          <w:iCs/>
        </w:rPr>
        <w:t>B</w:t>
      </w:r>
      <w:r w:rsidR="00121994" w:rsidRPr="00281428">
        <w:rPr>
          <w:rFonts w:eastAsia="Times New Roman"/>
          <w:bCs/>
          <w:iCs/>
        </w:rPr>
        <w:t>7</w:t>
      </w:r>
      <w:r w:rsidRPr="00281428">
        <w:rPr>
          <w:rFonts w:eastAsia="Times New Roman"/>
          <w:bCs/>
          <w:iCs/>
        </w:rPr>
        <w:t>: FLR-21.3</w:t>
      </w:r>
      <w:r w:rsidRPr="00281428">
        <w:rPr>
          <w:rFonts w:eastAsia="Times New Roman"/>
          <w:bCs/>
          <w:iCs/>
        </w:rPr>
        <w:tab/>
      </w:r>
      <w:r w:rsidR="009049C3" w:rsidRPr="00281428">
        <w:rPr>
          <w:rFonts w:eastAsia="Times New Roman"/>
          <w:bCs/>
          <w:iCs/>
        </w:rPr>
        <w:t>V</w:t>
      </w:r>
      <w:r w:rsidRPr="00281428">
        <w:rPr>
          <w:rFonts w:eastAsia="Times New Roman"/>
          <w:bCs/>
          <w:iCs/>
        </w:rPr>
        <w:tab/>
        <w:t>Section 3.1</w:t>
      </w:r>
      <w:r w:rsidR="00A96761" w:rsidRPr="00281428">
        <w:rPr>
          <w:rFonts w:eastAsia="Times New Roman"/>
          <w:bCs/>
          <w:iCs/>
        </w:rPr>
        <w:t>7</w:t>
      </w:r>
      <w:r w:rsidRPr="00281428">
        <w:rPr>
          <w:rFonts w:eastAsia="Times New Roman"/>
          <w:bCs/>
          <w:iCs/>
        </w:rPr>
        <w:t>.1. Labeling and Identification of Tractor Hydraulic Fluid</w:t>
      </w:r>
    </w:p>
    <w:p w14:paraId="13EE333F" w14:textId="77777777" w:rsidR="00C0568F" w:rsidRPr="00281428" w:rsidRDefault="00C0568F" w:rsidP="00C0568F">
      <w:pPr>
        <w:spacing w:after="0"/>
        <w:rPr>
          <w:b/>
        </w:rPr>
      </w:pPr>
      <w:r w:rsidRPr="00281428">
        <w:rPr>
          <w:b/>
        </w:rPr>
        <w:t>Source:</w:t>
      </w:r>
    </w:p>
    <w:p w14:paraId="3430C729" w14:textId="77777777" w:rsidR="00C0568F" w:rsidRPr="00281428" w:rsidRDefault="00C0568F" w:rsidP="00C0568F">
      <w:r w:rsidRPr="00281428">
        <w:rPr>
          <w:szCs w:val="20"/>
        </w:rPr>
        <w:t>Missouri Department of Agriculture</w:t>
      </w:r>
      <w:r w:rsidRPr="00281428">
        <w:t xml:space="preserve"> </w:t>
      </w:r>
    </w:p>
    <w:p w14:paraId="4E55507A" w14:textId="77777777" w:rsidR="00C0568F" w:rsidRPr="00281428" w:rsidRDefault="00C0568F" w:rsidP="00C0568F">
      <w:pPr>
        <w:spacing w:after="0"/>
        <w:rPr>
          <w:b/>
        </w:rPr>
      </w:pPr>
      <w:r w:rsidRPr="00281428">
        <w:rPr>
          <w:b/>
        </w:rPr>
        <w:t>Purpose:</w:t>
      </w:r>
    </w:p>
    <w:p w14:paraId="126DAAE9" w14:textId="6F9979FD" w:rsidR="00C0568F" w:rsidRPr="00281428" w:rsidRDefault="00C0568F" w:rsidP="00AB4620">
      <w:pPr>
        <w:spacing w:after="0"/>
        <w:rPr>
          <w:szCs w:val="20"/>
        </w:rPr>
      </w:pPr>
      <w:r w:rsidRPr="00281428">
        <w:rPr>
          <w:szCs w:val="20"/>
        </w:rPr>
        <w:t>To ensure that the obsolete labeling is required and not an option.</w:t>
      </w:r>
    </w:p>
    <w:p w14:paraId="660FDCCF" w14:textId="4F5DCF1D" w:rsidR="00CF3F44" w:rsidRPr="00281428" w:rsidRDefault="00CF3F44" w:rsidP="009049C3">
      <w:pPr>
        <w:pStyle w:val="ItemHeading"/>
        <w:tabs>
          <w:tab w:val="clear" w:pos="900"/>
          <w:tab w:val="left" w:pos="1710"/>
        </w:tabs>
      </w:pPr>
      <w:bookmarkStart w:id="158" w:name="_Toc65741455"/>
      <w:r w:rsidRPr="00281428">
        <w:lastRenderedPageBreak/>
        <w:t>B</w:t>
      </w:r>
      <w:r w:rsidR="00FF7682" w:rsidRPr="00281428">
        <w:t>7</w:t>
      </w:r>
      <w:r w:rsidRPr="00281428">
        <w:t>: MOS-21.</w:t>
      </w:r>
      <w:r w:rsidR="00C0568F" w:rsidRPr="00281428">
        <w:t>2</w:t>
      </w:r>
      <w:r w:rsidRPr="00281428">
        <w:t>.</w:t>
      </w:r>
      <w:r w:rsidRPr="00281428">
        <w:tab/>
      </w:r>
      <w:r w:rsidR="009049C3" w:rsidRPr="00281428">
        <w:t>V</w:t>
      </w:r>
      <w:r w:rsidRPr="00281428">
        <w:tab/>
        <w:t>Section 2.3</w:t>
      </w:r>
      <w:r w:rsidR="00C0568F" w:rsidRPr="00281428">
        <w:t>9</w:t>
      </w:r>
      <w:r w:rsidRPr="00281428">
        <w:t>.2. Labeling and Identification of Tra</w:t>
      </w:r>
      <w:r w:rsidR="00C0568F" w:rsidRPr="00281428">
        <w:t>ctor Hydraulic</w:t>
      </w:r>
      <w:r w:rsidRPr="00281428">
        <w:t xml:space="preserve"> Fluid</w:t>
      </w:r>
      <w:bookmarkEnd w:id="158"/>
    </w:p>
    <w:p w14:paraId="53A08A4D" w14:textId="77777777" w:rsidR="00CF3F44" w:rsidRPr="00281428" w:rsidRDefault="00CF3F44" w:rsidP="00784007">
      <w:pPr>
        <w:pStyle w:val="I-Normal1indent"/>
        <w:keepNext/>
        <w:spacing w:after="0"/>
        <w:ind w:left="0"/>
        <w:rPr>
          <w:b/>
          <w:szCs w:val="20"/>
        </w:rPr>
      </w:pPr>
      <w:r w:rsidRPr="00281428">
        <w:rPr>
          <w:b/>
          <w:szCs w:val="20"/>
        </w:rPr>
        <w:t>Item Under Consideration:</w:t>
      </w:r>
    </w:p>
    <w:p w14:paraId="50E6806B" w14:textId="0D143F74" w:rsidR="00CF3F44" w:rsidRPr="00281428" w:rsidRDefault="00CF3F44" w:rsidP="00784007">
      <w:pPr>
        <w:keepNext/>
      </w:pPr>
      <w:r w:rsidRPr="00281428">
        <w:t>Amend Handbook 130, Uniform Regulation for the Method of Sale of Commodities, as follows:</w:t>
      </w:r>
    </w:p>
    <w:p w14:paraId="4498C3C1" w14:textId="494D0871" w:rsidR="00C0568F" w:rsidRPr="00281428" w:rsidRDefault="00C0568F" w:rsidP="00784007">
      <w:pPr>
        <w:pStyle w:val="UniformLevel3"/>
        <w:keepNext/>
        <w:rPr>
          <w:rFonts w:eastAsia="Calibri"/>
          <w:color w:val="000000"/>
        </w:rPr>
      </w:pPr>
      <w:bookmarkStart w:id="159" w:name="_Toc17885010"/>
      <w:r w:rsidRPr="00281428">
        <w:rPr>
          <w:b/>
        </w:rPr>
        <w:t>2.39.2.  Labeling and Identification of Tractor Hydraulic Fluid</w:t>
      </w:r>
      <w:bookmarkEnd w:id="159"/>
      <w:r w:rsidRPr="00281428">
        <w:rPr>
          <w:b/>
          <w:color w:val="000000"/>
        </w:rPr>
        <w:t xml:space="preserve">. </w:t>
      </w:r>
      <w:r w:rsidRPr="00281428">
        <w:rPr>
          <w:color w:val="000000"/>
        </w:rPr>
        <w:t xml:space="preserve">– Tractor hydraulic fluids shall be labeled or identified as described below. </w:t>
      </w:r>
    </w:p>
    <w:p w14:paraId="339A9F0D" w14:textId="77777777" w:rsidR="00C0568F" w:rsidRPr="00281428" w:rsidRDefault="00C0568F" w:rsidP="00784007">
      <w:pPr>
        <w:pStyle w:val="UniformLevel4"/>
        <w:keepNext/>
        <w:spacing w:after="240"/>
        <w:rPr>
          <w:rFonts w:ascii="Times New Roman" w:eastAsia="Calibri" w:hAnsi="Times New Roman" w:cs="Times New Roman"/>
        </w:rPr>
      </w:pPr>
      <w:bookmarkStart w:id="160" w:name="_Toc17885011"/>
      <w:r w:rsidRPr="00281428">
        <w:rPr>
          <w:rFonts w:ascii="Times New Roman" w:hAnsi="Times New Roman" w:cs="Times New Roman"/>
          <w:b/>
          <w:color w:val="auto"/>
        </w:rPr>
        <w:t xml:space="preserve">2.39.2.1.  </w:t>
      </w:r>
      <w:bookmarkStart w:id="161" w:name="_Hlk18482014"/>
      <w:r w:rsidRPr="00281428">
        <w:rPr>
          <w:rFonts w:ascii="Times New Roman" w:hAnsi="Times New Roman" w:cs="Times New Roman"/>
          <w:b/>
          <w:color w:val="auto"/>
        </w:rPr>
        <w:t>Container Labeling</w:t>
      </w:r>
      <w:bookmarkEnd w:id="160"/>
      <w:bookmarkEnd w:id="161"/>
      <w:r w:rsidRPr="00281428">
        <w:rPr>
          <w:rFonts w:ascii="Times New Roman" w:hAnsi="Times New Roman" w:cs="Times New Roman"/>
          <w:b/>
          <w:color w:val="auto"/>
        </w:rPr>
        <w:t>.</w:t>
      </w:r>
      <w:r w:rsidRPr="00281428">
        <w:rPr>
          <w:rFonts w:ascii="Times New Roman" w:hAnsi="Times New Roman" w:cs="Times New Roman"/>
          <w:b/>
        </w:rPr>
        <w:t xml:space="preserve"> </w:t>
      </w:r>
      <w:r w:rsidRPr="00281428">
        <w:rPr>
          <w:rFonts w:ascii="Times New Roman" w:hAnsi="Times New Roman" w:cs="Times New Roman"/>
        </w:rPr>
        <w:t xml:space="preserve">– The label on a container of tractor hydraulic fluid shall not contain any information that is false or misleading.  Containers include bottles, cans, multi-quart or liter containers, pails, kegs, drums, and intermediate bulk containers (IBCs).  In addition, each container of tractor hydraulic fluid shall be labeled with the following:  </w:t>
      </w:r>
    </w:p>
    <w:p w14:paraId="28CC2C3C" w14:textId="2923168F" w:rsidR="00C0568F" w:rsidRPr="00281428" w:rsidRDefault="00C0568F" w:rsidP="00784007">
      <w:pPr>
        <w:keepNext/>
        <w:ind w:left="360" w:hanging="360"/>
        <w:rPr>
          <w:b/>
          <w:bCs/>
          <w:color w:val="000000"/>
          <w:sz w:val="22"/>
        </w:rPr>
      </w:pPr>
      <w:r w:rsidRPr="00281428">
        <w:rPr>
          <w:b/>
          <w:bCs/>
          <w:color w:val="000000"/>
        </w:rPr>
        <w:t>…</w:t>
      </w:r>
    </w:p>
    <w:p w14:paraId="3BC9C447" w14:textId="1F72F6FE" w:rsidR="00C0568F" w:rsidRPr="00281428" w:rsidRDefault="00C0568F" w:rsidP="00784007">
      <w:pPr>
        <w:numPr>
          <w:ilvl w:val="0"/>
          <w:numId w:val="57"/>
        </w:numPr>
        <w:ind w:hanging="360"/>
        <w:rPr>
          <w:color w:val="000000"/>
          <w:sz w:val="22"/>
        </w:rPr>
      </w:pPr>
      <w:r w:rsidRPr="00281428">
        <w:rPr>
          <w:color w:val="000000"/>
        </w:rPr>
        <w:t xml:space="preserve">any obsolete equipment manufacturer specifications </w:t>
      </w:r>
      <w:r w:rsidRPr="00281428">
        <w:rPr>
          <w:b/>
          <w:bCs/>
          <w:strike/>
          <w:color w:val="000000"/>
        </w:rPr>
        <w:t>should</w:t>
      </w:r>
      <w:r w:rsidR="00BA1365" w:rsidRPr="00281428">
        <w:rPr>
          <w:b/>
          <w:bCs/>
          <w:color w:val="000000"/>
          <w:szCs w:val="20"/>
          <w:u w:val="single"/>
        </w:rPr>
        <w:t>shall</w:t>
      </w:r>
      <w:r w:rsidRPr="00281428">
        <w:rPr>
          <w:color w:val="000000"/>
        </w:rPr>
        <w:t xml:space="preserve"> be clearly identified as “obsolete” and accompanied by the following </w:t>
      </w:r>
      <w:r w:rsidR="00272990" w:rsidRPr="00281428">
        <w:rPr>
          <w:color w:val="000000"/>
        </w:rPr>
        <w:t xml:space="preserve">cautionary statement on the principal display panel in accordance with the Uniform Packaging and Labeling Regulation, Section 8.  Prominence and Placement:  Consumer Packages and Section 9. Prominence and Placement: Non-Consumer Packages. </w:t>
      </w:r>
    </w:p>
    <w:p w14:paraId="467BA066" w14:textId="3920CB90" w:rsidR="00C0568F" w:rsidRPr="00281428" w:rsidRDefault="00C0568F" w:rsidP="00784007">
      <w:pPr>
        <w:ind w:left="1440" w:right="3" w:hanging="360"/>
        <w:rPr>
          <w:rFonts w:ascii="Calibri" w:hAnsi="Calibri" w:cs="Calibri"/>
          <w:color w:val="000000"/>
          <w:sz w:val="22"/>
        </w:rPr>
      </w:pPr>
      <w:r w:rsidRPr="00281428">
        <w:rPr>
          <w:color w:val="000000"/>
        </w:rPr>
        <w:tab/>
      </w:r>
      <w:r w:rsidRPr="00281428">
        <w:rPr>
          <w:b/>
          <w:color w:val="000000"/>
        </w:rPr>
        <w:t>Caution:</w:t>
      </w:r>
      <w:r w:rsidRPr="00281428">
        <w:rPr>
          <w:color w:val="000000"/>
        </w:rPr>
        <w:t xml:space="preserve">  Some of the specifications are no longer deemed active by the original equipment manufacturer. </w:t>
      </w:r>
      <w:r w:rsidR="00272990" w:rsidRPr="00281428">
        <w:rPr>
          <w:color w:val="000000"/>
        </w:rPr>
        <w:t xml:space="preserve"> </w:t>
      </w:r>
      <w:r w:rsidRPr="00281428">
        <w:rPr>
          <w:color w:val="000000"/>
        </w:rPr>
        <w:t xml:space="preserve">Significant harm to the transmission, hydraulic system, seals, final </w:t>
      </w:r>
      <w:proofErr w:type="gramStart"/>
      <w:r w:rsidRPr="00281428">
        <w:rPr>
          <w:color w:val="000000"/>
        </w:rPr>
        <w:t>drive</w:t>
      </w:r>
      <w:proofErr w:type="gramEnd"/>
      <w:r w:rsidRPr="00281428">
        <w:rPr>
          <w:color w:val="000000"/>
        </w:rPr>
        <w:t xml:space="preserve"> or axles is possible when using this product in applications in which it is not intended. </w:t>
      </w:r>
    </w:p>
    <w:p w14:paraId="45185C08" w14:textId="22A3DAF2" w:rsidR="00C0568F" w:rsidRPr="00281428" w:rsidRDefault="00C0568F" w:rsidP="00784007">
      <w:pPr>
        <w:ind w:left="1440" w:right="3" w:hanging="360"/>
        <w:rPr>
          <w:color w:val="000000"/>
          <w:sz w:val="22"/>
        </w:rPr>
      </w:pPr>
      <w:r w:rsidRPr="00281428">
        <w:rPr>
          <w:b/>
          <w:color w:val="000000"/>
        </w:rPr>
        <w:tab/>
      </w:r>
      <w:r w:rsidRPr="00281428">
        <w:rPr>
          <w:color w:val="000000"/>
        </w:rPr>
        <w:t xml:space="preserve">The above </w:t>
      </w:r>
      <w:r w:rsidR="00272990" w:rsidRPr="00281428">
        <w:rPr>
          <w:color w:val="000000"/>
        </w:rPr>
        <w:t xml:space="preserve">cautionary statement </w:t>
      </w:r>
      <w:r w:rsidRPr="00281428">
        <w:rPr>
          <w:color w:val="000000"/>
        </w:rPr>
        <w:t>is not required if the fluid claims to meet current original equipment manufacturer’s specifications and refers to thereby preceding specifications</w:t>
      </w:r>
      <w:r w:rsidR="00272990" w:rsidRPr="00281428">
        <w:rPr>
          <w:color w:val="000000"/>
        </w:rPr>
        <w:t xml:space="preserve">; and </w:t>
      </w:r>
    </w:p>
    <w:p w14:paraId="5B811632" w14:textId="042BFF9E" w:rsidR="00CF3F44" w:rsidRPr="00281428" w:rsidRDefault="00C0568F" w:rsidP="00784007">
      <w:pPr>
        <w:ind w:right="3"/>
        <w:rPr>
          <w:b/>
          <w:bCs/>
          <w:color w:val="000000"/>
        </w:rPr>
      </w:pPr>
      <w:r w:rsidRPr="00281428">
        <w:rPr>
          <w:b/>
          <w:bCs/>
          <w:color w:val="000000"/>
        </w:rPr>
        <w:t>…</w:t>
      </w:r>
    </w:p>
    <w:p w14:paraId="2E19EAF2" w14:textId="758E3F61" w:rsidR="00C0568F" w:rsidRPr="00281428" w:rsidRDefault="00C0568F" w:rsidP="00784007">
      <w:pPr>
        <w:pStyle w:val="UniformLevel4"/>
        <w:spacing w:after="240"/>
        <w:rPr>
          <w:rFonts w:ascii="Times New Roman" w:hAnsi="Times New Roman" w:cs="Times New Roman"/>
          <w:color w:val="000000"/>
        </w:rPr>
      </w:pPr>
      <w:bookmarkStart w:id="162" w:name="_Toc17885012"/>
      <w:r w:rsidRPr="00281428">
        <w:rPr>
          <w:rFonts w:ascii="Times New Roman" w:hAnsi="Times New Roman" w:cs="Times New Roman"/>
          <w:b/>
          <w:szCs w:val="20"/>
        </w:rPr>
        <w:t>2.39.2.2</w:t>
      </w:r>
      <w:r w:rsidRPr="00281428">
        <w:rPr>
          <w:rFonts w:ascii="Times New Roman" w:hAnsi="Times New Roman" w:cs="Times New Roman"/>
          <w:b/>
          <w:color w:val="auto"/>
          <w:szCs w:val="20"/>
        </w:rPr>
        <w:t>.  Identification on Documentation</w:t>
      </w:r>
      <w:bookmarkEnd w:id="162"/>
      <w:r w:rsidRPr="00281428">
        <w:rPr>
          <w:rFonts w:ascii="Times New Roman" w:hAnsi="Times New Roman" w:cs="Times New Roman"/>
          <w:b/>
          <w:szCs w:val="20"/>
        </w:rPr>
        <w:t>.</w:t>
      </w:r>
      <w:r w:rsidRPr="00281428">
        <w:rPr>
          <w:rFonts w:ascii="Times New Roman" w:hAnsi="Times New Roman" w:cs="Times New Roman"/>
        </w:rPr>
        <w:t xml:space="preserve"> </w:t>
      </w:r>
      <w:r w:rsidRPr="00281428">
        <w:rPr>
          <w:rFonts w:ascii="Times New Roman" w:hAnsi="Times New Roman" w:cs="Times New Roman"/>
          <w:color w:val="000000"/>
        </w:rPr>
        <w:t xml:space="preserve">– Tractor hydraulic fluid sold in bulk shall be identified on the manufacturer, packer, seller, or distributor invoice, bill of lading, shipping paper, or other documentation with the information listed below: </w:t>
      </w:r>
    </w:p>
    <w:p w14:paraId="56031DDB" w14:textId="2FC27173" w:rsidR="00C0568F" w:rsidRPr="00281428" w:rsidRDefault="00C0568F" w:rsidP="00784007">
      <w:pPr>
        <w:pStyle w:val="UniformLevel4"/>
        <w:spacing w:after="240"/>
        <w:ind w:left="0"/>
        <w:rPr>
          <w:rFonts w:ascii="Times New Roman" w:eastAsia="Calibri" w:hAnsi="Times New Roman" w:cs="Times New Roman"/>
          <w:color w:val="000000"/>
          <w:sz w:val="22"/>
        </w:rPr>
      </w:pPr>
      <w:r w:rsidRPr="00281428">
        <w:rPr>
          <w:rFonts w:ascii="Times New Roman" w:hAnsi="Times New Roman" w:cs="Times New Roman"/>
          <w:b/>
          <w:szCs w:val="20"/>
        </w:rPr>
        <w:t>…</w:t>
      </w:r>
    </w:p>
    <w:p w14:paraId="7AB89CB8" w14:textId="7163D824" w:rsidR="00C0568F" w:rsidRPr="00281428" w:rsidRDefault="00C0568F" w:rsidP="00784007">
      <w:pPr>
        <w:numPr>
          <w:ilvl w:val="0"/>
          <w:numId w:val="58"/>
        </w:numPr>
        <w:ind w:hanging="360"/>
        <w:rPr>
          <w:color w:val="000000"/>
          <w:sz w:val="22"/>
        </w:rPr>
      </w:pPr>
      <w:r w:rsidRPr="00281428">
        <w:rPr>
          <w:color w:val="000000"/>
        </w:rPr>
        <w:t xml:space="preserve">any obsolete equipment manufacturer specifications </w:t>
      </w:r>
      <w:r w:rsidRPr="00281428">
        <w:rPr>
          <w:b/>
          <w:bCs/>
          <w:strike/>
          <w:color w:val="000000"/>
        </w:rPr>
        <w:t>should</w:t>
      </w:r>
      <w:r w:rsidR="00BA1365" w:rsidRPr="00281428">
        <w:rPr>
          <w:b/>
          <w:bCs/>
          <w:color w:val="000000"/>
          <w:u w:val="single"/>
        </w:rPr>
        <w:t>shall</w:t>
      </w:r>
      <w:r w:rsidRPr="00281428">
        <w:rPr>
          <w:color w:val="000000"/>
        </w:rPr>
        <w:t xml:space="preserve"> be clearly identified as “obsolete” and accompanied by the following </w:t>
      </w:r>
      <w:r w:rsidR="00272990" w:rsidRPr="00281428">
        <w:rPr>
          <w:color w:val="000000"/>
        </w:rPr>
        <w:t>cautionary statement on the documentation in a clear and conspicuous manner.</w:t>
      </w:r>
      <w:r w:rsidRPr="00281428">
        <w:rPr>
          <w:color w:val="000000"/>
        </w:rPr>
        <w:t xml:space="preserve"> </w:t>
      </w:r>
    </w:p>
    <w:p w14:paraId="17613FB9" w14:textId="71E8983D" w:rsidR="00C0568F" w:rsidRPr="00281428" w:rsidRDefault="00C0568F" w:rsidP="00784007">
      <w:pPr>
        <w:ind w:left="1440" w:hanging="360"/>
        <w:rPr>
          <w:color w:val="000000"/>
          <w:sz w:val="22"/>
        </w:rPr>
      </w:pPr>
      <w:r w:rsidRPr="00281428">
        <w:rPr>
          <w:color w:val="000000"/>
        </w:rPr>
        <w:tab/>
      </w:r>
      <w:r w:rsidRPr="00281428">
        <w:rPr>
          <w:b/>
          <w:color w:val="000000"/>
        </w:rPr>
        <w:t>Caution:</w:t>
      </w:r>
      <w:r w:rsidRPr="00281428">
        <w:rPr>
          <w:color w:val="000000"/>
        </w:rPr>
        <w:t xml:space="preserve">  Some of the specifications are no longer deemed active by the original equipment manufacturer. </w:t>
      </w:r>
      <w:r w:rsidR="00272990" w:rsidRPr="00281428">
        <w:rPr>
          <w:color w:val="000000"/>
        </w:rPr>
        <w:t xml:space="preserve"> </w:t>
      </w:r>
      <w:r w:rsidRPr="00281428">
        <w:rPr>
          <w:color w:val="000000"/>
        </w:rPr>
        <w:t xml:space="preserve">Significant harm to the transmission, hydraulic system, seals, final </w:t>
      </w:r>
      <w:proofErr w:type="gramStart"/>
      <w:r w:rsidRPr="00281428">
        <w:rPr>
          <w:color w:val="000000"/>
        </w:rPr>
        <w:t>drive</w:t>
      </w:r>
      <w:proofErr w:type="gramEnd"/>
      <w:r w:rsidRPr="00281428">
        <w:rPr>
          <w:color w:val="000000"/>
        </w:rPr>
        <w:t xml:space="preserve"> or axles is possible when using in applications in which it is not intended. </w:t>
      </w:r>
    </w:p>
    <w:p w14:paraId="250DA844" w14:textId="0E56AAE0" w:rsidR="00C0568F" w:rsidRPr="00281428" w:rsidRDefault="00272990" w:rsidP="00784007">
      <w:pPr>
        <w:spacing w:after="360"/>
        <w:ind w:left="1440" w:hanging="360"/>
        <w:rPr>
          <w:color w:val="000000"/>
        </w:rPr>
      </w:pPr>
      <w:r w:rsidRPr="00281428">
        <w:rPr>
          <w:color w:val="000000"/>
        </w:rPr>
        <w:tab/>
      </w:r>
      <w:r w:rsidR="00C0568F" w:rsidRPr="00281428">
        <w:rPr>
          <w:color w:val="000000"/>
        </w:rPr>
        <w:t xml:space="preserve">The above </w:t>
      </w:r>
      <w:r w:rsidRPr="00281428">
        <w:rPr>
          <w:color w:val="000000"/>
        </w:rPr>
        <w:t xml:space="preserve">cautionary statement </w:t>
      </w:r>
      <w:r w:rsidR="00C0568F" w:rsidRPr="00281428">
        <w:rPr>
          <w:color w:val="000000"/>
        </w:rPr>
        <w:t>is not required if the fluid claims to meet current original equipment manufacturer’s specifications and refers to thereby preceding specifications</w:t>
      </w:r>
      <w:r w:rsidRPr="00281428">
        <w:rPr>
          <w:color w:val="000000"/>
        </w:rPr>
        <w:t>; an</w:t>
      </w:r>
      <w:r w:rsidR="00FF11AA" w:rsidRPr="00281428">
        <w:rPr>
          <w:color w:val="000000"/>
        </w:rPr>
        <w:t>d</w:t>
      </w:r>
    </w:p>
    <w:p w14:paraId="1593F9F6" w14:textId="647625C2" w:rsidR="00BA1365" w:rsidRPr="00281428" w:rsidRDefault="00BA1365" w:rsidP="00784007">
      <w:pPr>
        <w:pStyle w:val="UniformLevel4"/>
        <w:spacing w:after="240"/>
        <w:rPr>
          <w:rFonts w:ascii="Times New Roman" w:hAnsi="Times New Roman" w:cs="Times New Roman"/>
        </w:rPr>
      </w:pPr>
      <w:bookmarkStart w:id="163" w:name="_Toc17885013"/>
      <w:r w:rsidRPr="00281428">
        <w:rPr>
          <w:rFonts w:ascii="Times New Roman" w:hAnsi="Times New Roman" w:cs="Times New Roman"/>
          <w:b/>
          <w:color w:val="auto"/>
          <w:szCs w:val="20"/>
        </w:rPr>
        <w:t>2.39.2.3.  Identification on Service Provider Documentation</w:t>
      </w:r>
      <w:r w:rsidRPr="00281428">
        <w:rPr>
          <w:rFonts w:ascii="Times New Roman" w:hAnsi="Times New Roman" w:cs="Times New Roman"/>
          <w:b/>
          <w:szCs w:val="20"/>
        </w:rPr>
        <w:t>.</w:t>
      </w:r>
      <w:bookmarkEnd w:id="163"/>
      <w:r w:rsidRPr="00281428">
        <w:rPr>
          <w:rFonts w:ascii="Times New Roman" w:hAnsi="Times New Roman" w:cs="Times New Roman"/>
          <w:b/>
        </w:rPr>
        <w:t xml:space="preserve"> </w:t>
      </w:r>
      <w:r w:rsidRPr="00281428">
        <w:rPr>
          <w:rFonts w:ascii="Times New Roman" w:hAnsi="Times New Roman" w:cs="Times New Roman"/>
        </w:rPr>
        <w:t xml:space="preserve">– Tractor hydraulic fluid installed from a bulk tank at time of service shall be identified on the customer invoice with the information listed below:  </w:t>
      </w:r>
    </w:p>
    <w:p w14:paraId="239372E6" w14:textId="08F0859A" w:rsidR="00BA1365" w:rsidRPr="00281428" w:rsidRDefault="00BA1365" w:rsidP="00784007">
      <w:pPr>
        <w:pStyle w:val="UniformLevel4"/>
        <w:spacing w:after="240"/>
        <w:ind w:left="0"/>
        <w:rPr>
          <w:rFonts w:ascii="Times New Roman" w:eastAsia="Calibri" w:hAnsi="Times New Roman" w:cs="Times New Roman"/>
          <w:sz w:val="22"/>
        </w:rPr>
      </w:pPr>
      <w:r w:rsidRPr="00281428">
        <w:rPr>
          <w:rFonts w:ascii="Times New Roman" w:hAnsi="Times New Roman" w:cs="Times New Roman"/>
          <w:b/>
          <w:szCs w:val="20"/>
        </w:rPr>
        <w:t>…</w:t>
      </w:r>
    </w:p>
    <w:p w14:paraId="27A1F392" w14:textId="6BA1D660" w:rsidR="00BA1365" w:rsidRPr="00281428" w:rsidRDefault="00BA1365" w:rsidP="00784007">
      <w:pPr>
        <w:numPr>
          <w:ilvl w:val="0"/>
          <w:numId w:val="59"/>
        </w:numPr>
        <w:ind w:hanging="360"/>
        <w:rPr>
          <w:color w:val="000000"/>
          <w:sz w:val="22"/>
        </w:rPr>
      </w:pPr>
      <w:r w:rsidRPr="00281428">
        <w:rPr>
          <w:color w:val="000000"/>
        </w:rPr>
        <w:t xml:space="preserve">any obsolete equipment manufacturer specifications </w:t>
      </w:r>
      <w:r w:rsidRPr="00281428">
        <w:rPr>
          <w:b/>
          <w:bCs/>
          <w:strike/>
          <w:color w:val="000000"/>
        </w:rPr>
        <w:t>should</w:t>
      </w:r>
      <w:r w:rsidRPr="00281428">
        <w:rPr>
          <w:b/>
          <w:bCs/>
          <w:color w:val="000000"/>
          <w:u w:val="single"/>
        </w:rPr>
        <w:t>shall</w:t>
      </w:r>
      <w:r w:rsidRPr="00281428">
        <w:rPr>
          <w:color w:val="000000"/>
        </w:rPr>
        <w:t xml:space="preserve"> be clearly identified as “obsolete” and accompanied by the following </w:t>
      </w:r>
      <w:r w:rsidR="00272990" w:rsidRPr="00281428">
        <w:rPr>
          <w:color w:val="000000"/>
        </w:rPr>
        <w:t>cautionary statement on the customer invoice in a clear and conspicuous manner.</w:t>
      </w:r>
    </w:p>
    <w:p w14:paraId="0B09FE36" w14:textId="77777777" w:rsidR="00BA1365" w:rsidRPr="00281428" w:rsidRDefault="00BA1365" w:rsidP="002F0196">
      <w:pPr>
        <w:ind w:left="1440" w:hanging="360"/>
        <w:rPr>
          <w:color w:val="000000"/>
          <w:sz w:val="22"/>
        </w:rPr>
      </w:pPr>
      <w:r w:rsidRPr="00281428">
        <w:rPr>
          <w:color w:val="000000"/>
        </w:rPr>
        <w:lastRenderedPageBreak/>
        <w:tab/>
      </w:r>
      <w:r w:rsidRPr="00281428">
        <w:rPr>
          <w:b/>
          <w:color w:val="000000"/>
        </w:rPr>
        <w:t>Caution:</w:t>
      </w:r>
      <w:r w:rsidRPr="00281428">
        <w:rPr>
          <w:color w:val="000000"/>
        </w:rPr>
        <w:t xml:space="preserve">  Some of the specifications are no longer deemed active by the original equipment manufacturer. Significant harm to the transmission, hydraulic system, seals, final </w:t>
      </w:r>
      <w:proofErr w:type="gramStart"/>
      <w:r w:rsidRPr="00281428">
        <w:rPr>
          <w:color w:val="000000"/>
        </w:rPr>
        <w:t>drive</w:t>
      </w:r>
      <w:proofErr w:type="gramEnd"/>
      <w:r w:rsidRPr="00281428">
        <w:rPr>
          <w:color w:val="000000"/>
        </w:rPr>
        <w:t xml:space="preserve"> or axles is possible when using in applications in which it is not intended. </w:t>
      </w:r>
    </w:p>
    <w:p w14:paraId="6DCF7830" w14:textId="292BCBD0" w:rsidR="00BA1365" w:rsidRPr="00281428" w:rsidRDefault="00BA1365" w:rsidP="002F0196">
      <w:pPr>
        <w:ind w:left="1440" w:right="3"/>
        <w:rPr>
          <w:color w:val="000000"/>
          <w:sz w:val="22"/>
        </w:rPr>
      </w:pPr>
      <w:r w:rsidRPr="00281428">
        <w:rPr>
          <w:color w:val="000000"/>
        </w:rPr>
        <w:t xml:space="preserve">The above </w:t>
      </w:r>
      <w:r w:rsidR="00272990" w:rsidRPr="00281428">
        <w:rPr>
          <w:color w:val="000000"/>
        </w:rPr>
        <w:t xml:space="preserve">cautionary statement </w:t>
      </w:r>
      <w:r w:rsidRPr="00281428">
        <w:rPr>
          <w:color w:val="000000"/>
        </w:rPr>
        <w:t>is not required if the fluid claims to meet current original equipment manufacturer’s specifications and refers to thereby preceding specifications</w:t>
      </w:r>
      <w:r w:rsidR="00272990" w:rsidRPr="00281428">
        <w:rPr>
          <w:color w:val="000000"/>
        </w:rPr>
        <w:t>; and</w:t>
      </w:r>
    </w:p>
    <w:p w14:paraId="023D50E9" w14:textId="2302B8F8" w:rsidR="00CF3F44" w:rsidRPr="00281428" w:rsidRDefault="00CF3F44" w:rsidP="002F0196">
      <w:pPr>
        <w:pStyle w:val="ItemHeading"/>
        <w:tabs>
          <w:tab w:val="clear" w:pos="900"/>
          <w:tab w:val="left" w:pos="1620"/>
        </w:tabs>
      </w:pPr>
      <w:bookmarkStart w:id="164" w:name="_Toc65741456"/>
      <w:r w:rsidRPr="00281428">
        <w:t>B</w:t>
      </w:r>
      <w:r w:rsidR="00FF7682" w:rsidRPr="00281428">
        <w:t>7</w:t>
      </w:r>
      <w:r w:rsidRPr="00281428">
        <w:t>: FLR-21.</w:t>
      </w:r>
      <w:r w:rsidR="00BA1365" w:rsidRPr="00281428">
        <w:t>3</w:t>
      </w:r>
      <w:r w:rsidRPr="00281428">
        <w:t>.</w:t>
      </w:r>
      <w:r w:rsidRPr="00281428">
        <w:tab/>
      </w:r>
      <w:r w:rsidR="00FF11AA" w:rsidRPr="00281428">
        <w:t>V</w:t>
      </w:r>
      <w:r w:rsidRPr="00281428">
        <w:tab/>
        <w:t>Section 3.1</w:t>
      </w:r>
      <w:r w:rsidR="00BA1365" w:rsidRPr="00281428">
        <w:t>7</w:t>
      </w:r>
      <w:r w:rsidRPr="00281428">
        <w:t>.1. Labeling and Identification of Tra</w:t>
      </w:r>
      <w:r w:rsidR="00BA1365" w:rsidRPr="00281428">
        <w:t>ctor Hydraulic</w:t>
      </w:r>
      <w:r w:rsidRPr="00281428">
        <w:t xml:space="preserve"> Fluid</w:t>
      </w:r>
      <w:bookmarkEnd w:id="164"/>
    </w:p>
    <w:p w14:paraId="2678A58A" w14:textId="77777777" w:rsidR="00CF3F44" w:rsidRPr="00281428" w:rsidRDefault="00CF3F44" w:rsidP="00CF3F44">
      <w:pPr>
        <w:pStyle w:val="I-Normal1indent"/>
        <w:spacing w:after="0"/>
        <w:ind w:left="0"/>
        <w:rPr>
          <w:b/>
          <w:szCs w:val="20"/>
        </w:rPr>
      </w:pPr>
      <w:r w:rsidRPr="00281428">
        <w:rPr>
          <w:b/>
          <w:szCs w:val="20"/>
        </w:rPr>
        <w:t>Item Under Consideration:</w:t>
      </w:r>
    </w:p>
    <w:p w14:paraId="7D73705A" w14:textId="5CD2F013" w:rsidR="00CF3F44" w:rsidRPr="00281428" w:rsidRDefault="00CF3F44" w:rsidP="00CF3F44">
      <w:r w:rsidRPr="00281428">
        <w:t>Amend Handbook 130, Uniform Fuels and Automotive Lubricants Regulation, as follows</w:t>
      </w:r>
    </w:p>
    <w:p w14:paraId="0E3B2F6F" w14:textId="77777777" w:rsidR="00BA1365" w:rsidRPr="00281428" w:rsidRDefault="00BA1365" w:rsidP="00BA1365">
      <w:pPr>
        <w:pStyle w:val="EngineFuelTOC3rdLevel"/>
        <w:spacing w:after="240"/>
        <w:rPr>
          <w:rFonts w:ascii="Calibri" w:eastAsia="Calibri" w:hAnsi="Calibri" w:cs="Calibri"/>
          <w:b w:val="0"/>
          <w:bCs w:val="0"/>
          <w:sz w:val="22"/>
        </w:rPr>
      </w:pPr>
      <w:bookmarkStart w:id="165" w:name="_Toc20396844"/>
      <w:r w:rsidRPr="00281428">
        <w:rPr>
          <w:szCs w:val="20"/>
        </w:rPr>
        <w:t>3.17.1.  Labeling and Identification of Tractor Hydraulic Fluid</w:t>
      </w:r>
      <w:bookmarkEnd w:id="165"/>
      <w:r w:rsidRPr="00281428">
        <w:t>. –</w:t>
      </w:r>
      <w:r w:rsidRPr="00281428">
        <w:rPr>
          <w:b w:val="0"/>
          <w:bCs w:val="0"/>
        </w:rPr>
        <w:t xml:space="preserve"> Tractor hydraulic fluid shall be labeled or identified as described below </w:t>
      </w:r>
    </w:p>
    <w:p w14:paraId="0F97723F" w14:textId="77777777" w:rsidR="00BA1365" w:rsidRPr="00281428" w:rsidRDefault="00BA1365" w:rsidP="00BA1365">
      <w:pPr>
        <w:pStyle w:val="EngineFuelTOC4thLevel"/>
        <w:spacing w:after="240"/>
        <w:ind w:left="720"/>
        <w:rPr>
          <w:rFonts w:ascii="Calibri" w:eastAsia="Calibri" w:hAnsi="Calibri" w:cs="Calibri"/>
          <w:b w:val="0"/>
          <w:bCs w:val="0"/>
          <w:sz w:val="22"/>
        </w:rPr>
      </w:pPr>
      <w:bookmarkStart w:id="166" w:name="_Toc20396845"/>
      <w:r w:rsidRPr="00281428">
        <w:t>3.17.1.1.  Container Labeling</w:t>
      </w:r>
      <w:r w:rsidRPr="00281428" w:rsidDel="00FF6D7B">
        <w:rPr>
          <w:szCs w:val="20"/>
        </w:rPr>
        <w:t xml:space="preserve"> </w:t>
      </w:r>
      <w:bookmarkEnd w:id="166"/>
      <w:r w:rsidRPr="00281428">
        <w:t xml:space="preserve">– </w:t>
      </w:r>
      <w:r w:rsidRPr="00281428">
        <w:rPr>
          <w:b w:val="0"/>
          <w:bCs w:val="0"/>
        </w:rPr>
        <w:t xml:space="preserve">The label on a container of tractor hydraulic fluid shall not contain any information that is false or misleading.  Containers include bottles, cans, multi-quart or liter containers, pails, kegs, drums, and intermediate bulk containers (IBCs).  In addition, each container of tractor hydraulic fluid shall be labeled with the following: </w:t>
      </w:r>
    </w:p>
    <w:p w14:paraId="400681DA" w14:textId="3EC2DEC5" w:rsidR="00BA1365" w:rsidRPr="00281428" w:rsidRDefault="00BA1365" w:rsidP="00BA1365">
      <w:pPr>
        <w:tabs>
          <w:tab w:val="left" w:pos="1440"/>
        </w:tabs>
        <w:ind w:right="3"/>
        <w:rPr>
          <w:rFonts w:ascii="Calibri" w:hAnsi="Calibri" w:cs="Calibri"/>
          <w:color w:val="000000"/>
          <w:sz w:val="22"/>
        </w:rPr>
      </w:pPr>
      <w:r w:rsidRPr="00281428">
        <w:rPr>
          <w:b/>
          <w:bCs/>
          <w:color w:val="000000"/>
        </w:rPr>
        <w:t>…</w:t>
      </w:r>
      <w:r w:rsidRPr="00281428">
        <w:rPr>
          <w:color w:val="000000"/>
        </w:rPr>
        <w:t xml:space="preserve"> </w:t>
      </w:r>
    </w:p>
    <w:p w14:paraId="68297500" w14:textId="09E605CB" w:rsidR="00BA1365" w:rsidRPr="00281428" w:rsidRDefault="00BA1365" w:rsidP="002F0196">
      <w:pPr>
        <w:numPr>
          <w:ilvl w:val="0"/>
          <w:numId w:val="60"/>
        </w:numPr>
        <w:ind w:hanging="360"/>
        <w:rPr>
          <w:rFonts w:ascii="Calibri" w:hAnsi="Calibri" w:cs="Calibri"/>
          <w:color w:val="000000"/>
          <w:sz w:val="22"/>
        </w:rPr>
      </w:pPr>
      <w:r w:rsidRPr="00281428">
        <w:rPr>
          <w:color w:val="000000"/>
        </w:rPr>
        <w:t xml:space="preserve">any obsolete equipment manufacturer specifications </w:t>
      </w:r>
      <w:r w:rsidRPr="00281428">
        <w:rPr>
          <w:b/>
          <w:bCs/>
          <w:strike/>
          <w:color w:val="000000"/>
        </w:rPr>
        <w:t>should</w:t>
      </w:r>
      <w:r w:rsidR="008B5F57" w:rsidRPr="00281428">
        <w:rPr>
          <w:b/>
          <w:bCs/>
          <w:color w:val="000000"/>
          <w:u w:val="single"/>
        </w:rPr>
        <w:t>shall</w:t>
      </w:r>
      <w:r w:rsidRPr="00281428">
        <w:rPr>
          <w:color w:val="000000"/>
        </w:rPr>
        <w:t xml:space="preserve"> be clearly identified as “obsolete” and accompanied by the following </w:t>
      </w:r>
      <w:r w:rsidR="00FF11AA" w:rsidRPr="00281428">
        <w:rPr>
          <w:color w:val="000000"/>
        </w:rPr>
        <w:t>cautionary statement on the principal display panel in accordance with the Uniform Packaging and Labeling Regulation, Section 8. Prominence and Placement:  Consumer Packages and Section 9. Prominence and Placement: Non-Consumer Packages.</w:t>
      </w:r>
      <w:r w:rsidRPr="00281428">
        <w:rPr>
          <w:color w:val="000000"/>
        </w:rPr>
        <w:t xml:space="preserve"> </w:t>
      </w:r>
    </w:p>
    <w:p w14:paraId="197A67BB" w14:textId="58F36977" w:rsidR="00BA1365" w:rsidRPr="00281428" w:rsidRDefault="00BA1365" w:rsidP="002F0196">
      <w:pPr>
        <w:ind w:left="1440"/>
        <w:rPr>
          <w:rFonts w:ascii="Calibri" w:hAnsi="Calibri" w:cs="Calibri"/>
          <w:color w:val="000000"/>
          <w:sz w:val="22"/>
        </w:rPr>
      </w:pPr>
      <w:r w:rsidRPr="00281428">
        <w:rPr>
          <w:b/>
          <w:color w:val="000000"/>
        </w:rPr>
        <w:t>Caution:</w:t>
      </w:r>
      <w:r w:rsidR="00FF11AA" w:rsidRPr="00281428">
        <w:rPr>
          <w:b/>
          <w:color w:val="000000"/>
        </w:rPr>
        <w:t xml:space="preserve"> </w:t>
      </w:r>
      <w:r w:rsidRPr="00281428">
        <w:rPr>
          <w:color w:val="000000"/>
        </w:rPr>
        <w:t xml:space="preserve"> Some specifications are no longer deemed active by the original equipment manufacturer. Significant harm to the transmission, hydraulic system, seals, final </w:t>
      </w:r>
      <w:proofErr w:type="gramStart"/>
      <w:r w:rsidRPr="00281428">
        <w:rPr>
          <w:color w:val="000000"/>
        </w:rPr>
        <w:t>drive</w:t>
      </w:r>
      <w:proofErr w:type="gramEnd"/>
      <w:r w:rsidRPr="00281428">
        <w:rPr>
          <w:color w:val="000000"/>
        </w:rPr>
        <w:t xml:space="preserve"> or axles is possible when using in applications in which it was not intended. </w:t>
      </w:r>
    </w:p>
    <w:p w14:paraId="07EA2589" w14:textId="30FB1F85" w:rsidR="00BA1365" w:rsidRPr="00281428" w:rsidRDefault="00BA1365" w:rsidP="002F0196">
      <w:pPr>
        <w:ind w:left="1440" w:right="3"/>
        <w:rPr>
          <w:rFonts w:ascii="Calibri" w:hAnsi="Calibri" w:cs="Calibri"/>
          <w:color w:val="000000"/>
          <w:sz w:val="22"/>
        </w:rPr>
      </w:pPr>
      <w:r w:rsidRPr="00281428">
        <w:rPr>
          <w:color w:val="000000"/>
        </w:rPr>
        <w:t xml:space="preserve">The above </w:t>
      </w:r>
      <w:r w:rsidR="00FF11AA" w:rsidRPr="00281428">
        <w:rPr>
          <w:color w:val="000000"/>
        </w:rPr>
        <w:t xml:space="preserve">cautionary statement </w:t>
      </w:r>
      <w:r w:rsidRPr="00281428">
        <w:rPr>
          <w:color w:val="000000"/>
        </w:rPr>
        <w:t>is not required if the fluid claims to meet current original equipment manufacturer’s specifications and refers to thereby preceding specifications</w:t>
      </w:r>
      <w:r w:rsidR="00FF11AA" w:rsidRPr="00281428">
        <w:rPr>
          <w:color w:val="000000"/>
        </w:rPr>
        <w:t xml:space="preserve">; and </w:t>
      </w:r>
    </w:p>
    <w:p w14:paraId="3CAEBFE1" w14:textId="546D8871" w:rsidR="00BA1365" w:rsidRPr="00281428" w:rsidRDefault="00BA1365" w:rsidP="00BA1365">
      <w:pPr>
        <w:tabs>
          <w:tab w:val="left" w:pos="1080"/>
          <w:tab w:val="left" w:pos="1440"/>
        </w:tabs>
        <w:ind w:right="3"/>
        <w:rPr>
          <w:rFonts w:ascii="Calibri" w:hAnsi="Calibri" w:cs="Calibri"/>
          <w:color w:val="000000"/>
          <w:sz w:val="22"/>
        </w:rPr>
      </w:pPr>
      <w:r w:rsidRPr="00281428">
        <w:rPr>
          <w:b/>
          <w:bCs/>
          <w:color w:val="000000"/>
        </w:rPr>
        <w:t>…</w:t>
      </w:r>
      <w:r w:rsidRPr="00281428">
        <w:rPr>
          <w:color w:val="000000"/>
        </w:rPr>
        <w:t xml:space="preserve"> </w:t>
      </w:r>
    </w:p>
    <w:p w14:paraId="1703DCAE" w14:textId="50BD143A" w:rsidR="00BA1365" w:rsidRPr="00281428" w:rsidRDefault="00BA1365" w:rsidP="00BA1365">
      <w:pPr>
        <w:pStyle w:val="EngineFuelTOC4thLevel"/>
        <w:spacing w:after="240"/>
        <w:ind w:left="720"/>
        <w:rPr>
          <w:rFonts w:ascii="Calibri" w:eastAsia="Calibri" w:hAnsi="Calibri" w:cs="Calibri"/>
          <w:color w:val="000000"/>
          <w:sz w:val="22"/>
          <w:szCs w:val="22"/>
        </w:rPr>
      </w:pPr>
      <w:bookmarkStart w:id="167" w:name="_Toc20396846"/>
      <w:r w:rsidRPr="00281428">
        <w:t>3.17.1.2.  Identification on Documentation</w:t>
      </w:r>
      <w:bookmarkEnd w:id="167"/>
      <w:r w:rsidRPr="00281428">
        <w:rPr>
          <w:color w:val="000000"/>
          <w:szCs w:val="22"/>
        </w:rPr>
        <w:t xml:space="preserve">. – </w:t>
      </w:r>
      <w:r w:rsidRPr="00281428">
        <w:rPr>
          <w:b w:val="0"/>
          <w:bCs w:val="0"/>
          <w:color w:val="000000"/>
          <w:szCs w:val="22"/>
        </w:rPr>
        <w:t>Tractor hydraulic fluid sold in bulk shall be identified on the manufacturer, packer, seller or distributor invoice, bill of lading, shipping paper, or other documentation with the information listed below:</w:t>
      </w:r>
      <w:r w:rsidRPr="00281428">
        <w:rPr>
          <w:color w:val="000000"/>
          <w:szCs w:val="22"/>
        </w:rPr>
        <w:t xml:space="preserve"> </w:t>
      </w:r>
    </w:p>
    <w:p w14:paraId="0A35ACB2" w14:textId="3ED95B7E" w:rsidR="00BA1365" w:rsidRPr="00281428" w:rsidRDefault="008B5F57" w:rsidP="002F0196">
      <w:pPr>
        <w:tabs>
          <w:tab w:val="left" w:pos="1440"/>
          <w:tab w:val="left" w:pos="1890"/>
        </w:tabs>
        <w:ind w:left="1440" w:hanging="1440"/>
        <w:rPr>
          <w:rFonts w:ascii="Calibri" w:hAnsi="Calibri" w:cs="Calibri"/>
          <w:b/>
          <w:bCs/>
          <w:color w:val="000000"/>
          <w:sz w:val="22"/>
        </w:rPr>
      </w:pPr>
      <w:r w:rsidRPr="00281428">
        <w:rPr>
          <w:b/>
          <w:bCs/>
          <w:color w:val="000000"/>
        </w:rPr>
        <w:t>…</w:t>
      </w:r>
    </w:p>
    <w:p w14:paraId="2CCCB2DE" w14:textId="2A5AD9A0" w:rsidR="00BA1365" w:rsidRPr="00281428" w:rsidRDefault="00BA1365" w:rsidP="002F0196">
      <w:pPr>
        <w:numPr>
          <w:ilvl w:val="0"/>
          <w:numId w:val="61"/>
        </w:numPr>
        <w:ind w:hanging="360"/>
        <w:rPr>
          <w:rFonts w:ascii="Calibri" w:hAnsi="Calibri" w:cs="Calibri"/>
          <w:color w:val="000000"/>
          <w:sz w:val="22"/>
        </w:rPr>
      </w:pPr>
      <w:r w:rsidRPr="00281428">
        <w:rPr>
          <w:color w:val="000000"/>
        </w:rPr>
        <w:t xml:space="preserve">any obsolete equipment manufacturer standard </w:t>
      </w:r>
      <w:r w:rsidRPr="00281428">
        <w:rPr>
          <w:b/>
          <w:bCs/>
          <w:strike/>
          <w:color w:val="000000"/>
        </w:rPr>
        <w:t>should</w:t>
      </w:r>
      <w:r w:rsidR="008B5F57" w:rsidRPr="00281428">
        <w:rPr>
          <w:b/>
          <w:bCs/>
          <w:color w:val="000000"/>
          <w:u w:val="single"/>
        </w:rPr>
        <w:t>shall</w:t>
      </w:r>
      <w:r w:rsidRPr="00281428">
        <w:rPr>
          <w:color w:val="000000"/>
        </w:rPr>
        <w:t xml:space="preserve"> be clearly identified as “obsolete” and accompanied by the following </w:t>
      </w:r>
      <w:r w:rsidR="00FF11AA" w:rsidRPr="00281428">
        <w:rPr>
          <w:color w:val="000000"/>
        </w:rPr>
        <w:t>cautionary statement on the documentation in a clear and conspicuous manner.</w:t>
      </w:r>
      <w:r w:rsidRPr="00281428">
        <w:rPr>
          <w:color w:val="000000"/>
        </w:rPr>
        <w:t xml:space="preserve"> </w:t>
      </w:r>
    </w:p>
    <w:p w14:paraId="43F6B980" w14:textId="7C4C8471" w:rsidR="00BA1365" w:rsidRPr="00281428" w:rsidRDefault="00BA1365" w:rsidP="002F0196">
      <w:pPr>
        <w:ind w:left="1440"/>
        <w:rPr>
          <w:rFonts w:ascii="Calibri" w:hAnsi="Calibri" w:cs="Calibri"/>
          <w:color w:val="000000"/>
          <w:sz w:val="22"/>
        </w:rPr>
      </w:pPr>
      <w:r w:rsidRPr="00281428">
        <w:rPr>
          <w:b/>
          <w:color w:val="000000"/>
        </w:rPr>
        <w:t>Caution:</w:t>
      </w:r>
      <w:r w:rsidRPr="00281428">
        <w:rPr>
          <w:color w:val="000000"/>
        </w:rPr>
        <w:t xml:space="preserve">  Some of the specifications are no longer deemed active by the original equipment manufacturer. </w:t>
      </w:r>
      <w:r w:rsidR="00FF11AA" w:rsidRPr="00281428">
        <w:rPr>
          <w:color w:val="000000"/>
        </w:rPr>
        <w:t xml:space="preserve"> </w:t>
      </w:r>
      <w:r w:rsidRPr="00281428">
        <w:rPr>
          <w:color w:val="000000"/>
        </w:rPr>
        <w:t xml:space="preserve">Significant harm to the transmission, hydraulic system, seals, final </w:t>
      </w:r>
      <w:proofErr w:type="gramStart"/>
      <w:r w:rsidRPr="00281428">
        <w:rPr>
          <w:color w:val="000000"/>
        </w:rPr>
        <w:t>drive</w:t>
      </w:r>
      <w:proofErr w:type="gramEnd"/>
      <w:r w:rsidRPr="00281428">
        <w:rPr>
          <w:color w:val="000000"/>
        </w:rPr>
        <w:t xml:space="preserve"> or axles is possible when using in applications in which it is not intended. </w:t>
      </w:r>
    </w:p>
    <w:p w14:paraId="6B374EF2" w14:textId="246EB6F4" w:rsidR="00BA1365" w:rsidRPr="00281428" w:rsidRDefault="00BA1365" w:rsidP="002F0196">
      <w:pPr>
        <w:ind w:left="1440"/>
        <w:rPr>
          <w:rFonts w:ascii="Calibri" w:hAnsi="Calibri" w:cs="Calibri"/>
          <w:color w:val="000000"/>
          <w:sz w:val="22"/>
        </w:rPr>
      </w:pPr>
      <w:r w:rsidRPr="00281428">
        <w:rPr>
          <w:color w:val="000000"/>
        </w:rPr>
        <w:t xml:space="preserve">The above </w:t>
      </w:r>
      <w:r w:rsidR="00FF11AA" w:rsidRPr="00281428">
        <w:rPr>
          <w:color w:val="000000"/>
        </w:rPr>
        <w:t>cautionary stat</w:t>
      </w:r>
      <w:r w:rsidR="003A71EF" w:rsidRPr="00281428">
        <w:rPr>
          <w:color w:val="000000"/>
        </w:rPr>
        <w:t>e</w:t>
      </w:r>
      <w:r w:rsidR="00FF11AA" w:rsidRPr="00281428">
        <w:rPr>
          <w:color w:val="000000"/>
        </w:rPr>
        <w:t xml:space="preserve">ment </w:t>
      </w:r>
      <w:r w:rsidRPr="00281428">
        <w:rPr>
          <w:color w:val="000000"/>
        </w:rPr>
        <w:t>is not required if the fluid claims to meet current original equipment manufacturer’s specifications and refers to thereby preceding specifications.an accurate statement of the quantity of the contents in terms of liquid measure</w:t>
      </w:r>
      <w:r w:rsidR="003A71EF" w:rsidRPr="00281428">
        <w:rPr>
          <w:color w:val="000000"/>
        </w:rPr>
        <w:t xml:space="preserve">; and </w:t>
      </w:r>
    </w:p>
    <w:p w14:paraId="43DC85E3" w14:textId="77777777" w:rsidR="00BA1365" w:rsidRPr="00281428" w:rsidRDefault="00BA1365" w:rsidP="00BA1365">
      <w:pPr>
        <w:pStyle w:val="EngineFuelTOC4thLevel"/>
        <w:spacing w:after="240"/>
        <w:ind w:left="720"/>
        <w:rPr>
          <w:rFonts w:ascii="Calibri" w:eastAsia="Calibri" w:hAnsi="Calibri" w:cs="Calibri"/>
          <w:sz w:val="22"/>
        </w:rPr>
      </w:pPr>
      <w:bookmarkStart w:id="168" w:name="_Toc20396847"/>
      <w:r w:rsidRPr="00281428">
        <w:rPr>
          <w:szCs w:val="20"/>
        </w:rPr>
        <w:lastRenderedPageBreak/>
        <w:t>3.17.1.3.  Identification on Service Provider Documentation</w:t>
      </w:r>
      <w:bookmarkEnd w:id="168"/>
      <w:r w:rsidRPr="00281428">
        <w:t xml:space="preserve">. </w:t>
      </w:r>
      <w:r w:rsidRPr="00281428">
        <w:rPr>
          <w:b w:val="0"/>
          <w:bCs w:val="0"/>
        </w:rPr>
        <w:t>– Tractor hydraulic fluid installed from a bulk tank at time of service shall be identified on the customer invoice with the information listed below:</w:t>
      </w:r>
      <w:r w:rsidRPr="00281428">
        <w:t xml:space="preserve">  </w:t>
      </w:r>
    </w:p>
    <w:p w14:paraId="7E09258F" w14:textId="77020BAB" w:rsidR="00BA1365" w:rsidRPr="00281428" w:rsidRDefault="008B5F57" w:rsidP="008B5F57">
      <w:pPr>
        <w:rPr>
          <w:rFonts w:ascii="Calibri" w:hAnsi="Calibri" w:cs="Calibri"/>
          <w:b/>
          <w:bCs/>
          <w:color w:val="000000"/>
          <w:sz w:val="22"/>
        </w:rPr>
      </w:pPr>
      <w:r w:rsidRPr="00281428">
        <w:rPr>
          <w:b/>
          <w:bCs/>
          <w:color w:val="000000"/>
        </w:rPr>
        <w:t>…</w:t>
      </w:r>
    </w:p>
    <w:p w14:paraId="3AEEF169" w14:textId="1134AC0A" w:rsidR="00BA1365" w:rsidRPr="00281428" w:rsidRDefault="00BA1365" w:rsidP="002F0196">
      <w:pPr>
        <w:numPr>
          <w:ilvl w:val="0"/>
          <w:numId w:val="62"/>
        </w:numPr>
        <w:ind w:hanging="360"/>
        <w:rPr>
          <w:rFonts w:ascii="Calibri" w:hAnsi="Calibri" w:cs="Calibri"/>
          <w:color w:val="000000"/>
          <w:sz w:val="22"/>
        </w:rPr>
      </w:pPr>
      <w:r w:rsidRPr="00281428">
        <w:rPr>
          <w:color w:val="000000"/>
        </w:rPr>
        <w:t xml:space="preserve">any obsolete equipment manufacturer specifications </w:t>
      </w:r>
      <w:r w:rsidRPr="00281428">
        <w:rPr>
          <w:b/>
          <w:bCs/>
          <w:strike/>
          <w:color w:val="000000"/>
        </w:rPr>
        <w:t>should</w:t>
      </w:r>
      <w:r w:rsidR="008B5F57" w:rsidRPr="00281428">
        <w:rPr>
          <w:b/>
          <w:bCs/>
          <w:color w:val="000000"/>
          <w:u w:val="single"/>
        </w:rPr>
        <w:t>shall</w:t>
      </w:r>
      <w:r w:rsidRPr="00281428">
        <w:rPr>
          <w:color w:val="000000"/>
        </w:rPr>
        <w:t xml:space="preserve"> be clearly identified as “obsolete” and accompanied by the following </w:t>
      </w:r>
      <w:r w:rsidR="003A71EF" w:rsidRPr="00281428">
        <w:rPr>
          <w:color w:val="000000"/>
        </w:rPr>
        <w:t>cautionary statement on the customer invoice in a clear and conspicuous manner.</w:t>
      </w:r>
    </w:p>
    <w:p w14:paraId="7BB00E73" w14:textId="720F9D44" w:rsidR="00BA1365" w:rsidRPr="00281428" w:rsidRDefault="00BA1365" w:rsidP="002F0196">
      <w:pPr>
        <w:ind w:left="1440"/>
        <w:rPr>
          <w:rFonts w:ascii="Calibri" w:hAnsi="Calibri" w:cs="Calibri"/>
          <w:color w:val="000000"/>
          <w:sz w:val="22"/>
        </w:rPr>
      </w:pPr>
      <w:r w:rsidRPr="00281428">
        <w:rPr>
          <w:b/>
          <w:color w:val="000000"/>
        </w:rPr>
        <w:t>Caution:</w:t>
      </w:r>
      <w:r w:rsidRPr="00281428">
        <w:rPr>
          <w:color w:val="000000"/>
        </w:rPr>
        <w:t xml:space="preserve">  Some of the specifications are no longer deemed active by the original equipment manufacturer. </w:t>
      </w:r>
      <w:r w:rsidR="003A71EF" w:rsidRPr="00281428">
        <w:rPr>
          <w:color w:val="000000"/>
        </w:rPr>
        <w:t xml:space="preserve"> </w:t>
      </w:r>
      <w:r w:rsidRPr="00281428">
        <w:rPr>
          <w:color w:val="000000"/>
        </w:rPr>
        <w:t xml:space="preserve">Significant harm to the transmission, hydraulic system, seals, final </w:t>
      </w:r>
      <w:proofErr w:type="gramStart"/>
      <w:r w:rsidRPr="00281428">
        <w:rPr>
          <w:color w:val="000000"/>
        </w:rPr>
        <w:t>drive</w:t>
      </w:r>
      <w:proofErr w:type="gramEnd"/>
      <w:r w:rsidRPr="00281428">
        <w:rPr>
          <w:color w:val="000000"/>
        </w:rPr>
        <w:t xml:space="preserve"> or axles is possible when using in applications in which it is not intended. </w:t>
      </w:r>
    </w:p>
    <w:p w14:paraId="62FAE38B" w14:textId="47F3EADF" w:rsidR="00CF3F44" w:rsidRPr="00281428" w:rsidRDefault="00BA1365" w:rsidP="002F0196">
      <w:pPr>
        <w:ind w:left="1440"/>
      </w:pPr>
      <w:r w:rsidRPr="00281428">
        <w:rPr>
          <w:color w:val="000000"/>
        </w:rPr>
        <w:t xml:space="preserve">The above </w:t>
      </w:r>
      <w:r w:rsidR="003A71EF" w:rsidRPr="00281428">
        <w:rPr>
          <w:color w:val="000000"/>
        </w:rPr>
        <w:t xml:space="preserve">cautionary statement </w:t>
      </w:r>
      <w:r w:rsidRPr="00281428">
        <w:rPr>
          <w:color w:val="000000"/>
        </w:rPr>
        <w:t>is not required if the fluid claims to meet current original equipment manufacturer’s specifications and refers to thereby preceding specifications</w:t>
      </w:r>
      <w:r w:rsidR="003A71EF" w:rsidRPr="00281428">
        <w:rPr>
          <w:color w:val="000000"/>
        </w:rPr>
        <w:t>; and</w:t>
      </w:r>
    </w:p>
    <w:p w14:paraId="4DF83F09" w14:textId="77777777" w:rsidR="00CF3F44" w:rsidRPr="00281428" w:rsidRDefault="00CF3F44" w:rsidP="00CF3F44">
      <w:pPr>
        <w:keepNext/>
        <w:spacing w:after="0"/>
        <w:rPr>
          <w:szCs w:val="20"/>
        </w:rPr>
      </w:pPr>
      <w:r w:rsidRPr="00281428">
        <w:rPr>
          <w:b/>
          <w:szCs w:val="20"/>
        </w:rPr>
        <w:t>Previous Action:</w:t>
      </w:r>
    </w:p>
    <w:p w14:paraId="4797198E" w14:textId="77777777" w:rsidR="00CF3F44" w:rsidRPr="00281428" w:rsidRDefault="00CF3F44" w:rsidP="00FC49B1">
      <w:pPr>
        <w:pStyle w:val="ListParagraph"/>
        <w:numPr>
          <w:ilvl w:val="0"/>
          <w:numId w:val="54"/>
        </w:numPr>
        <w:contextualSpacing/>
        <w:rPr>
          <w:szCs w:val="20"/>
        </w:rPr>
      </w:pPr>
      <w:r w:rsidRPr="00281428">
        <w:rPr>
          <w:szCs w:val="20"/>
        </w:rPr>
        <w:t>N/A</w:t>
      </w:r>
    </w:p>
    <w:p w14:paraId="0ABC3BE6" w14:textId="77777777" w:rsidR="00CF3F44" w:rsidRPr="00281428" w:rsidRDefault="00CF3F44" w:rsidP="00FC49B1">
      <w:pPr>
        <w:spacing w:after="0"/>
        <w:rPr>
          <w:b/>
          <w:szCs w:val="20"/>
        </w:rPr>
      </w:pPr>
      <w:r w:rsidRPr="00281428">
        <w:rPr>
          <w:b/>
          <w:szCs w:val="20"/>
        </w:rPr>
        <w:t>Original Justification:</w:t>
      </w:r>
    </w:p>
    <w:p w14:paraId="6630F379" w14:textId="64CB4B4F" w:rsidR="00CF3F44" w:rsidRPr="00281428" w:rsidRDefault="008B5F57" w:rsidP="00FC49B1">
      <w:pPr>
        <w:spacing w:before="40"/>
        <w:rPr>
          <w:szCs w:val="20"/>
        </w:rPr>
      </w:pPr>
      <w:r w:rsidRPr="00281428">
        <w:rPr>
          <w:szCs w:val="20"/>
        </w:rPr>
        <w:t>This is a proposal to change the</w:t>
      </w:r>
      <w:r w:rsidR="007603E5" w:rsidRPr="00281428">
        <w:rPr>
          <w:szCs w:val="20"/>
        </w:rPr>
        <w:t xml:space="preserve"> </w:t>
      </w:r>
      <w:r w:rsidR="00EF3627" w:rsidRPr="00281428">
        <w:rPr>
          <w:szCs w:val="20"/>
        </w:rPr>
        <w:t xml:space="preserve">permissive term </w:t>
      </w:r>
      <w:r w:rsidRPr="00281428">
        <w:rPr>
          <w:szCs w:val="20"/>
        </w:rPr>
        <w:t xml:space="preserve">“should” to “shall” in </w:t>
      </w:r>
      <w:r w:rsidR="00EF3627" w:rsidRPr="00281428">
        <w:rPr>
          <w:szCs w:val="20"/>
        </w:rPr>
        <w:t>Handbook, Method of Sale Regs. Sections 2.39.2.1.(e), 2.39.2.2.(e), and 2.39.2.3.(e).  The following Sections of the Fuels and Lubricants Regs are also being recommended for a change for the term “should” to “shall”; Sections 3.17.1.1.(e), 3.17.1.2.(e), and 3.17.1.3.(e).</w:t>
      </w:r>
    </w:p>
    <w:p w14:paraId="7EF952AD" w14:textId="77777777" w:rsidR="00CF3F44" w:rsidRPr="00281428" w:rsidRDefault="00CF3F44" w:rsidP="00FC49B1">
      <w:pPr>
        <w:rPr>
          <w:szCs w:val="20"/>
        </w:rPr>
      </w:pPr>
      <w:r w:rsidRPr="00281428">
        <w:rPr>
          <w:szCs w:val="20"/>
        </w:rPr>
        <w:t>The submitter requested voting status for this item in 2021.</w:t>
      </w:r>
    </w:p>
    <w:p w14:paraId="3DE5C25D" w14:textId="77777777" w:rsidR="00CF3F44" w:rsidRPr="00281428" w:rsidRDefault="00CF3F44" w:rsidP="00FC49B1">
      <w:pPr>
        <w:rPr>
          <w:b/>
        </w:rPr>
      </w:pPr>
      <w:r w:rsidRPr="00281428">
        <w:rPr>
          <w:b/>
        </w:rPr>
        <w:t>Arguments in Favor:</w:t>
      </w:r>
    </w:p>
    <w:p w14:paraId="325E4C04" w14:textId="77777777" w:rsidR="00CF3F44" w:rsidRPr="00281428" w:rsidRDefault="00CF3F44" w:rsidP="00FC49B1">
      <w:pPr>
        <w:spacing w:after="0"/>
        <w:ind w:left="720"/>
        <w:rPr>
          <w:b/>
        </w:rPr>
      </w:pPr>
      <w:r w:rsidRPr="00281428">
        <w:rPr>
          <w:b/>
        </w:rPr>
        <w:t>Regulatory:</w:t>
      </w:r>
    </w:p>
    <w:p w14:paraId="6697144F" w14:textId="4A878495" w:rsidR="00CF3F44" w:rsidRPr="00281428" w:rsidRDefault="0045456F" w:rsidP="00FC49B1">
      <w:pPr>
        <w:pStyle w:val="ListParagraph"/>
        <w:numPr>
          <w:ilvl w:val="0"/>
          <w:numId w:val="52"/>
        </w:numPr>
        <w:spacing w:line="259" w:lineRule="auto"/>
        <w:ind w:left="1080"/>
        <w:contextualSpacing/>
        <w:jc w:val="left"/>
      </w:pPr>
      <w:r w:rsidRPr="00281428">
        <w:t>Several regulators made comments to the affirmative to change the language from “should to “shall.”</w:t>
      </w:r>
    </w:p>
    <w:p w14:paraId="4CF31941" w14:textId="77777777" w:rsidR="00CF3F44" w:rsidRPr="00281428" w:rsidRDefault="00CF3F44" w:rsidP="00FC49B1">
      <w:pPr>
        <w:spacing w:after="0"/>
        <w:ind w:left="720"/>
        <w:rPr>
          <w:b/>
        </w:rPr>
      </w:pPr>
      <w:r w:rsidRPr="00281428">
        <w:rPr>
          <w:b/>
        </w:rPr>
        <w:t>Industry:</w:t>
      </w:r>
    </w:p>
    <w:p w14:paraId="251CA470" w14:textId="7BB43C86" w:rsidR="00CF3F44" w:rsidRPr="00281428" w:rsidRDefault="0045456F" w:rsidP="00CF3F44">
      <w:pPr>
        <w:pStyle w:val="ListParagraph"/>
        <w:numPr>
          <w:ilvl w:val="0"/>
          <w:numId w:val="52"/>
        </w:numPr>
        <w:spacing w:line="259" w:lineRule="auto"/>
        <w:ind w:left="1080"/>
        <w:contextualSpacing/>
        <w:jc w:val="left"/>
      </w:pPr>
      <w:r w:rsidRPr="00281428">
        <w:t>Representatives from API and ILMA agreed with the updated terminology of changing the permissive language from “should” to “shall.”</w:t>
      </w:r>
    </w:p>
    <w:p w14:paraId="56DD1DA6" w14:textId="77777777" w:rsidR="00CF3F44" w:rsidRPr="00281428" w:rsidRDefault="00CF3F44" w:rsidP="00CF3F44">
      <w:pPr>
        <w:spacing w:after="0"/>
        <w:ind w:left="720"/>
        <w:rPr>
          <w:b/>
        </w:rPr>
      </w:pPr>
      <w:r w:rsidRPr="00281428">
        <w:rPr>
          <w:b/>
        </w:rPr>
        <w:t>Advisory:</w:t>
      </w:r>
    </w:p>
    <w:p w14:paraId="7BC755A6" w14:textId="114EC2E7" w:rsidR="00CF3F44" w:rsidRPr="00281428" w:rsidRDefault="0045456F" w:rsidP="00CF3F44">
      <w:pPr>
        <w:pStyle w:val="ListParagraph"/>
        <w:numPr>
          <w:ilvl w:val="0"/>
          <w:numId w:val="52"/>
        </w:numPr>
        <w:spacing w:line="259" w:lineRule="auto"/>
        <w:ind w:left="1080"/>
        <w:contextualSpacing/>
        <w:jc w:val="left"/>
      </w:pPr>
      <w:r w:rsidRPr="00281428">
        <w:t>Technical advisors discussed the permissive term and its intent on the item.</w:t>
      </w:r>
    </w:p>
    <w:p w14:paraId="292DB42C" w14:textId="77777777" w:rsidR="00CF3F44" w:rsidRPr="00281428" w:rsidRDefault="00CF3F44" w:rsidP="00CF3F44">
      <w:pPr>
        <w:rPr>
          <w:b/>
        </w:rPr>
      </w:pPr>
      <w:r w:rsidRPr="00281428">
        <w:rPr>
          <w:b/>
        </w:rPr>
        <w:t>Arguments Against:</w:t>
      </w:r>
    </w:p>
    <w:p w14:paraId="5965C0FE" w14:textId="77777777" w:rsidR="00CF3F44" w:rsidRPr="00281428" w:rsidRDefault="00CF3F44" w:rsidP="00CF3F44">
      <w:pPr>
        <w:spacing w:after="0"/>
        <w:ind w:left="720"/>
        <w:rPr>
          <w:b/>
        </w:rPr>
      </w:pPr>
      <w:r w:rsidRPr="00281428">
        <w:rPr>
          <w:b/>
        </w:rPr>
        <w:t>Regulatory:</w:t>
      </w:r>
    </w:p>
    <w:p w14:paraId="2FA9B547" w14:textId="77777777" w:rsidR="00CF3F44" w:rsidRPr="00281428" w:rsidRDefault="00CF3F44" w:rsidP="00CF3F44">
      <w:pPr>
        <w:pStyle w:val="ListParagraph"/>
        <w:numPr>
          <w:ilvl w:val="0"/>
          <w:numId w:val="53"/>
        </w:numPr>
        <w:spacing w:line="259" w:lineRule="auto"/>
        <w:ind w:left="1080"/>
        <w:contextualSpacing/>
        <w:jc w:val="left"/>
      </w:pPr>
    </w:p>
    <w:p w14:paraId="1C9C38F1" w14:textId="77777777" w:rsidR="00CF3F44" w:rsidRPr="00281428" w:rsidRDefault="00CF3F44" w:rsidP="00CF3F44">
      <w:pPr>
        <w:spacing w:after="0"/>
        <w:ind w:left="720"/>
        <w:rPr>
          <w:b/>
        </w:rPr>
      </w:pPr>
      <w:r w:rsidRPr="00281428">
        <w:rPr>
          <w:b/>
        </w:rPr>
        <w:t>Industry:</w:t>
      </w:r>
    </w:p>
    <w:p w14:paraId="3041285A" w14:textId="77777777" w:rsidR="00CF3F44" w:rsidRPr="00281428" w:rsidRDefault="00CF3F44" w:rsidP="00CF3F44">
      <w:pPr>
        <w:pStyle w:val="ListParagraph"/>
        <w:numPr>
          <w:ilvl w:val="0"/>
          <w:numId w:val="53"/>
        </w:numPr>
        <w:spacing w:line="259" w:lineRule="auto"/>
        <w:ind w:left="1080"/>
        <w:contextualSpacing/>
        <w:jc w:val="left"/>
      </w:pPr>
    </w:p>
    <w:p w14:paraId="4EB5E461" w14:textId="77777777" w:rsidR="00CF3F44" w:rsidRPr="00281428" w:rsidRDefault="00CF3F44" w:rsidP="00CF3F44">
      <w:pPr>
        <w:spacing w:after="0"/>
        <w:ind w:left="720"/>
        <w:rPr>
          <w:b/>
        </w:rPr>
      </w:pPr>
      <w:r w:rsidRPr="00281428">
        <w:rPr>
          <w:b/>
        </w:rPr>
        <w:t>Advisory:</w:t>
      </w:r>
    </w:p>
    <w:p w14:paraId="3307355B" w14:textId="77777777" w:rsidR="00CF3F44" w:rsidRPr="00281428" w:rsidRDefault="00CF3F44" w:rsidP="00CF3F44">
      <w:pPr>
        <w:pStyle w:val="ListParagraph"/>
        <w:numPr>
          <w:ilvl w:val="0"/>
          <w:numId w:val="53"/>
        </w:numPr>
        <w:spacing w:line="259" w:lineRule="auto"/>
        <w:ind w:left="1080"/>
        <w:contextualSpacing/>
        <w:jc w:val="left"/>
      </w:pPr>
    </w:p>
    <w:p w14:paraId="3696AEEA" w14:textId="77777777" w:rsidR="00CF3F44" w:rsidRPr="00281428" w:rsidRDefault="00CF3F44" w:rsidP="00CF3F44">
      <w:pPr>
        <w:spacing w:after="0"/>
        <w:rPr>
          <w:b/>
        </w:rPr>
      </w:pPr>
      <w:r w:rsidRPr="00281428">
        <w:rPr>
          <w:b/>
        </w:rPr>
        <w:t>Item Development:</w:t>
      </w:r>
    </w:p>
    <w:p w14:paraId="0F3650E3" w14:textId="48EB817C" w:rsidR="003A71EF" w:rsidRPr="00281428" w:rsidRDefault="003A71EF" w:rsidP="00CF3F44">
      <w:r w:rsidRPr="00194455">
        <w:rPr>
          <w:u w:val="single"/>
        </w:rPr>
        <w:t xml:space="preserve">NCWM </w:t>
      </w:r>
      <w:r w:rsidR="001377BB">
        <w:rPr>
          <w:u w:val="single"/>
        </w:rPr>
        <w:t xml:space="preserve">2021 </w:t>
      </w:r>
      <w:r w:rsidRPr="00194455">
        <w:rPr>
          <w:u w:val="single"/>
        </w:rPr>
        <w:t>Interim Meeting</w:t>
      </w:r>
      <w:r w:rsidR="00E21F41" w:rsidRPr="00194455">
        <w:rPr>
          <w:u w:val="single"/>
        </w:rPr>
        <w:t>:</w:t>
      </w:r>
      <w:r w:rsidR="00E21F41">
        <w:t xml:space="preserve">  The Committee </w:t>
      </w:r>
      <w:r w:rsidR="00EF3627" w:rsidRPr="00281428">
        <w:t xml:space="preserve">noted that the term “should” is </w:t>
      </w:r>
      <w:r w:rsidR="00B4312E" w:rsidRPr="00281428">
        <w:t>permissive,</w:t>
      </w:r>
      <w:r w:rsidR="00EF3627" w:rsidRPr="00281428">
        <w:t xml:space="preserve"> and the word “shall” should replace it.</w:t>
      </w:r>
      <w:r w:rsidR="00194455">
        <w:t xml:space="preserve">  </w:t>
      </w:r>
      <w:r w:rsidR="00B4312E" w:rsidRPr="00281428">
        <w:t>At the 2020 NCWM Annual Meeting language changes for these exact sections had been given a “positive vote.”</w:t>
      </w:r>
      <w:r w:rsidR="00194455">
        <w:t xml:space="preserve">  </w:t>
      </w:r>
      <w:r w:rsidR="00B4312E" w:rsidRPr="00281428">
        <w:t xml:space="preserve">The language from the 2020 NCWM Annual has been incorporated into this Item </w:t>
      </w:r>
      <w:r w:rsidR="00A66A43">
        <w:t>U</w:t>
      </w:r>
      <w:r w:rsidR="00B4312E" w:rsidRPr="00281428">
        <w:t>nder Consideration.</w:t>
      </w:r>
      <w:r w:rsidR="00194455">
        <w:t xml:space="preserve">  </w:t>
      </w:r>
      <w:r w:rsidR="00B4312E" w:rsidRPr="00281428">
        <w:t xml:space="preserve">This item </w:t>
      </w:r>
      <w:r w:rsidR="00643679" w:rsidRPr="00281428">
        <w:t xml:space="preserve">was not incorporated into the </w:t>
      </w:r>
      <w:r w:rsidR="00B4312E" w:rsidRPr="00281428">
        <w:t xml:space="preserve"> 2020 NCWM Annual </w:t>
      </w:r>
      <w:r w:rsidR="00643679" w:rsidRPr="00281428">
        <w:t xml:space="preserve">language </w:t>
      </w:r>
      <w:r w:rsidR="00B4312E" w:rsidRPr="00281428">
        <w:t xml:space="preserve">because the Committee felt </w:t>
      </w:r>
      <w:r w:rsidR="00B4312E" w:rsidRPr="00281428">
        <w:lastRenderedPageBreak/>
        <w:t>changing a permissive term should have additional vetting and due process.</w:t>
      </w:r>
      <w:r w:rsidR="0050223A" w:rsidRPr="00281428">
        <w:t xml:space="preserve">  The Committee hearing positive comments changed the word “should” to “shall” and recommended this as a Voting item. </w:t>
      </w:r>
    </w:p>
    <w:p w14:paraId="540529C1" w14:textId="77777777" w:rsidR="00A00E0F" w:rsidRPr="00281428" w:rsidRDefault="00A00E0F" w:rsidP="00A00E0F">
      <w:pPr>
        <w:keepNext/>
        <w:keepLines/>
        <w:spacing w:after="120"/>
        <w:rPr>
          <w:szCs w:val="20"/>
        </w:rPr>
      </w:pPr>
      <w:r w:rsidRPr="00281428">
        <w:rPr>
          <w:b/>
          <w:szCs w:val="20"/>
        </w:rPr>
        <w:t>Regional Association Comments:</w:t>
      </w:r>
    </w:p>
    <w:p w14:paraId="1405FA8D" w14:textId="20C79890" w:rsidR="009A230E" w:rsidRPr="00281428" w:rsidRDefault="009A230E" w:rsidP="009A230E">
      <w:pPr>
        <w:rPr>
          <w:b/>
          <w:bCs/>
        </w:rPr>
      </w:pPr>
      <w:r w:rsidRPr="00281428">
        <w:rPr>
          <w:u w:val="single"/>
        </w:rPr>
        <w:t>WWMA 2020 Annual Meeting:</w:t>
      </w:r>
      <w:r w:rsidRPr="00281428">
        <w:t xml:space="preserve">  </w:t>
      </w:r>
      <w:r w:rsidRPr="00281428">
        <w:rPr>
          <w:rFonts w:eastAsia="Times New Roman"/>
          <w:szCs w:val="24"/>
        </w:rPr>
        <w:t xml:space="preserve">The Committee heard testimony from both industry and regulators in support of this item.  The WWMA L&amp;R Committee recommends that this item move forward as a Voting item. </w:t>
      </w:r>
      <w:r w:rsidR="00C346F9" w:rsidRPr="00281428">
        <w:rPr>
          <w:rFonts w:eastAsia="Times New Roman"/>
          <w:szCs w:val="24"/>
        </w:rPr>
        <w:t xml:space="preserve"> </w:t>
      </w:r>
      <w:r w:rsidRPr="00281428">
        <w:rPr>
          <w:rFonts w:eastAsia="Times New Roman"/>
          <w:szCs w:val="24"/>
        </w:rPr>
        <w:t>The Committee agreed that the language in the regulation be mandatory rather than permissive.</w:t>
      </w:r>
    </w:p>
    <w:p w14:paraId="43523EFC" w14:textId="3F184E7A" w:rsidR="009A230E" w:rsidRPr="00281428" w:rsidRDefault="009A230E" w:rsidP="009A230E">
      <w:pPr>
        <w:keepNext/>
        <w:keepLines/>
      </w:pPr>
      <w:r w:rsidRPr="00281428">
        <w:rPr>
          <w:bCs/>
          <w:u w:val="single"/>
        </w:rPr>
        <w:t>SWMA 2020 Annual Meeting:</w:t>
      </w:r>
      <w:r w:rsidRPr="00281428">
        <w:rPr>
          <w:bCs/>
        </w:rPr>
        <w:t xml:space="preserve">  </w:t>
      </w:r>
      <w:r w:rsidRPr="00281428">
        <w:rPr>
          <w:rFonts w:eastAsia="Times New Roman"/>
          <w:szCs w:val="24"/>
        </w:rPr>
        <w:t xml:space="preserve">The L&amp;R Committee recommends this as a Voting item. </w:t>
      </w:r>
      <w:r w:rsidR="00C346F9" w:rsidRPr="00281428">
        <w:rPr>
          <w:rFonts w:eastAsia="Times New Roman"/>
          <w:szCs w:val="24"/>
        </w:rPr>
        <w:t xml:space="preserve"> </w:t>
      </w:r>
      <w:r w:rsidRPr="00281428">
        <w:rPr>
          <w:rFonts w:eastAsia="Times New Roman"/>
          <w:szCs w:val="24"/>
        </w:rPr>
        <w:t xml:space="preserve">It is our hope that this will be resolved with carryover item Block 2 on the </w:t>
      </w:r>
      <w:r w:rsidR="004F19F8" w:rsidRPr="00281428">
        <w:rPr>
          <w:rFonts w:eastAsia="Times New Roman"/>
          <w:szCs w:val="24"/>
        </w:rPr>
        <w:t xml:space="preserve">2020 </w:t>
      </w:r>
      <w:r w:rsidRPr="00281428">
        <w:rPr>
          <w:rFonts w:eastAsia="Times New Roman"/>
          <w:szCs w:val="24"/>
        </w:rPr>
        <w:t xml:space="preserve">L&amp;R NCWM Committee Agenda.  </w:t>
      </w:r>
    </w:p>
    <w:p w14:paraId="45472542" w14:textId="203DE3E2" w:rsidR="009A230E" w:rsidRPr="00281428" w:rsidRDefault="009A230E" w:rsidP="009A230E">
      <w:pPr>
        <w:rPr>
          <w:rFonts w:eastAsia="Times New Roman"/>
          <w:szCs w:val="24"/>
        </w:rPr>
      </w:pPr>
      <w:r w:rsidRPr="00281428">
        <w:rPr>
          <w:bCs/>
          <w:u w:val="single"/>
        </w:rPr>
        <w:t>NEWMA 2020 Interim Meeting:</w:t>
      </w:r>
      <w:r w:rsidRPr="00281428">
        <w:rPr>
          <w:bCs/>
        </w:rPr>
        <w:t xml:space="preserve">  </w:t>
      </w:r>
      <w:r w:rsidRPr="00281428">
        <w:rPr>
          <w:rFonts w:eastAsia="Times New Roman"/>
          <w:szCs w:val="24"/>
        </w:rPr>
        <w:t>At the 2020 NEWMA Interim Meeting</w:t>
      </w:r>
      <w:r w:rsidR="00C346F9" w:rsidRPr="00281428">
        <w:rPr>
          <w:rFonts w:eastAsia="Times New Roman"/>
          <w:szCs w:val="24"/>
        </w:rPr>
        <w:t>, Ms.</w:t>
      </w:r>
      <w:r w:rsidRPr="00281428">
        <w:rPr>
          <w:rFonts w:eastAsia="Times New Roman"/>
          <w:szCs w:val="24"/>
        </w:rPr>
        <w:t xml:space="preserve"> Lisa Warfield (NIST</w:t>
      </w:r>
      <w:r w:rsidR="00A66A43">
        <w:rPr>
          <w:rFonts w:eastAsia="Times New Roman"/>
          <w:szCs w:val="24"/>
        </w:rPr>
        <w:t xml:space="preserve"> OWM</w:t>
      </w:r>
      <w:r w:rsidRPr="00281428">
        <w:rPr>
          <w:rFonts w:eastAsia="Times New Roman"/>
          <w:szCs w:val="24"/>
        </w:rPr>
        <w:t xml:space="preserve">) stated that these items may not be necessary if addressed in Voting items in Block 2 Tractor Hydraulic Fluid.  These changes can be applied to MOS 20.1 and FLR 20.1.  If adopted these items would not be needed.  </w:t>
      </w:r>
      <w:r w:rsidR="00C346F9" w:rsidRPr="00281428">
        <w:rPr>
          <w:rFonts w:eastAsia="Times New Roman"/>
          <w:szCs w:val="24"/>
        </w:rPr>
        <w:t xml:space="preserve">Mr. </w:t>
      </w:r>
      <w:r w:rsidRPr="00281428">
        <w:rPr>
          <w:rFonts w:eastAsia="Times New Roman"/>
          <w:szCs w:val="24"/>
        </w:rPr>
        <w:t xml:space="preserve">Jeffrey Leiter (ILMA) supports changing “should” to “shall”. </w:t>
      </w:r>
      <w:r w:rsidR="00C346F9" w:rsidRPr="00281428">
        <w:rPr>
          <w:rFonts w:eastAsia="Times New Roman"/>
          <w:szCs w:val="24"/>
        </w:rPr>
        <w:t xml:space="preserve"> Mr. </w:t>
      </w:r>
      <w:r w:rsidRPr="00281428">
        <w:rPr>
          <w:rFonts w:eastAsia="Times New Roman"/>
          <w:szCs w:val="24"/>
        </w:rPr>
        <w:t>Mike Sikula (</w:t>
      </w:r>
      <w:r w:rsidR="00A66A43">
        <w:rPr>
          <w:rFonts w:eastAsia="Times New Roman"/>
          <w:szCs w:val="24"/>
        </w:rPr>
        <w:t>NY</w:t>
      </w:r>
      <w:r w:rsidRPr="00281428">
        <w:rPr>
          <w:rFonts w:eastAsia="Times New Roman"/>
          <w:szCs w:val="24"/>
        </w:rPr>
        <w:t xml:space="preserve">) has concerns that manufacturers are dictating the terms putting </w:t>
      </w:r>
      <w:r w:rsidR="005146ED">
        <w:rPr>
          <w:rFonts w:eastAsia="Times New Roman"/>
          <w:szCs w:val="24"/>
        </w:rPr>
        <w:t>weights and measures officials</w:t>
      </w:r>
      <w:r w:rsidRPr="00281428">
        <w:rPr>
          <w:rFonts w:eastAsia="Times New Roman"/>
          <w:szCs w:val="24"/>
        </w:rPr>
        <w:t xml:space="preserve"> in a position that compromises the equity role of weights </w:t>
      </w:r>
      <w:r w:rsidR="005146ED">
        <w:rPr>
          <w:rFonts w:eastAsia="Times New Roman"/>
          <w:szCs w:val="24"/>
        </w:rPr>
        <w:t>and</w:t>
      </w:r>
      <w:r w:rsidRPr="00281428">
        <w:rPr>
          <w:rFonts w:eastAsia="Times New Roman"/>
          <w:szCs w:val="24"/>
        </w:rPr>
        <w:t xml:space="preserve"> measures officials. </w:t>
      </w:r>
      <w:r w:rsidR="00C346F9" w:rsidRPr="00281428">
        <w:rPr>
          <w:rFonts w:eastAsia="Times New Roman"/>
          <w:szCs w:val="24"/>
        </w:rPr>
        <w:t xml:space="preserve">Mr. </w:t>
      </w:r>
      <w:r w:rsidRPr="00281428">
        <w:rPr>
          <w:rFonts w:eastAsia="Times New Roman"/>
          <w:szCs w:val="24"/>
        </w:rPr>
        <w:t>John McGuire (</w:t>
      </w:r>
      <w:r w:rsidR="005146ED">
        <w:rPr>
          <w:rFonts w:eastAsia="Times New Roman"/>
          <w:szCs w:val="24"/>
        </w:rPr>
        <w:t>NJ</w:t>
      </w:r>
      <w:r w:rsidRPr="00281428">
        <w:rPr>
          <w:rFonts w:eastAsia="Times New Roman"/>
          <w:szCs w:val="24"/>
        </w:rPr>
        <w:t>) recommends striking the word “color” in Section 2.39.2.1(e), Section 2.39.2.2(e), Section 2.39.2.3(e), and Section 3.17.1.1 as it does not comport with UPLR Section 8.2.2.  The Committee recommends this block as Voting items with incorporated changes.</w:t>
      </w:r>
    </w:p>
    <w:p w14:paraId="646DF88A" w14:textId="66B46B49" w:rsidR="00CF3F44" w:rsidRPr="00281428" w:rsidRDefault="009A230E" w:rsidP="009A230E">
      <w:pPr>
        <w:pStyle w:val="BoldHeading"/>
        <w:spacing w:after="240"/>
        <w:rPr>
          <w:b w:val="0"/>
        </w:rPr>
      </w:pPr>
      <w:r w:rsidRPr="00281428">
        <w:rPr>
          <w:rFonts w:eastAsia="Times New Roman"/>
          <w:b w:val="0"/>
          <w:szCs w:val="24"/>
          <w:u w:val="single"/>
        </w:rPr>
        <w:t>CWMA 2020 Interim Meeting:</w:t>
      </w:r>
      <w:r w:rsidRPr="00281428">
        <w:rPr>
          <w:rFonts w:eastAsia="Times New Roman"/>
          <w:b w:val="0"/>
          <w:szCs w:val="24"/>
        </w:rPr>
        <w:t xml:space="preserve">  </w:t>
      </w:r>
      <w:r w:rsidRPr="00281428">
        <w:rPr>
          <w:b w:val="0"/>
        </w:rPr>
        <w:t xml:space="preserve">L&amp;R </w:t>
      </w:r>
      <w:r w:rsidR="005E5636" w:rsidRPr="00281428">
        <w:rPr>
          <w:b w:val="0"/>
        </w:rPr>
        <w:t>Chair</w:t>
      </w:r>
      <w:r w:rsidR="00C346F9" w:rsidRPr="00281428">
        <w:rPr>
          <w:b w:val="0"/>
        </w:rPr>
        <w:t xml:space="preserve">man </w:t>
      </w:r>
      <w:r w:rsidR="005146ED">
        <w:rPr>
          <w:b w:val="0"/>
        </w:rPr>
        <w:t xml:space="preserve">Mr. </w:t>
      </w:r>
      <w:r w:rsidRPr="00281428">
        <w:rPr>
          <w:b w:val="0"/>
        </w:rPr>
        <w:t>Doug Musick</w:t>
      </w:r>
      <w:r w:rsidR="005146ED">
        <w:rPr>
          <w:b w:val="0"/>
        </w:rPr>
        <w:t xml:space="preserve"> (KS)</w:t>
      </w:r>
      <w:r w:rsidRPr="00281428">
        <w:rPr>
          <w:b w:val="0"/>
        </w:rPr>
        <w:t xml:space="preserve"> commented that </w:t>
      </w:r>
      <w:r w:rsidR="004F19F8" w:rsidRPr="00281428">
        <w:rPr>
          <w:b w:val="0"/>
        </w:rPr>
        <w:t xml:space="preserve">modified </w:t>
      </w:r>
      <w:r w:rsidRPr="00281428">
        <w:rPr>
          <w:b w:val="0"/>
        </w:rPr>
        <w:t xml:space="preserve">language </w:t>
      </w:r>
      <w:r w:rsidR="004F19F8" w:rsidRPr="00281428">
        <w:rPr>
          <w:b w:val="0"/>
        </w:rPr>
        <w:t xml:space="preserve">changes </w:t>
      </w:r>
      <w:r w:rsidRPr="00281428">
        <w:rPr>
          <w:b w:val="0"/>
        </w:rPr>
        <w:t xml:space="preserve">for Block 2. Tractor Hydraulic Fluid includes these changes </w:t>
      </w:r>
      <w:r w:rsidR="00B4312E" w:rsidRPr="00281428">
        <w:rPr>
          <w:b w:val="0"/>
        </w:rPr>
        <w:t xml:space="preserve">from </w:t>
      </w:r>
      <w:r w:rsidRPr="00281428">
        <w:rPr>
          <w:b w:val="0"/>
        </w:rPr>
        <w:t xml:space="preserve">“should” to “shall”. </w:t>
      </w:r>
      <w:r w:rsidR="00C346F9" w:rsidRPr="00281428">
        <w:rPr>
          <w:b w:val="0"/>
        </w:rPr>
        <w:t xml:space="preserve"> </w:t>
      </w:r>
      <w:r w:rsidRPr="00281428">
        <w:rPr>
          <w:b w:val="0"/>
        </w:rPr>
        <w:t>Mr. Ron Hayes (</w:t>
      </w:r>
      <w:r w:rsidR="005146ED">
        <w:rPr>
          <w:b w:val="0"/>
        </w:rPr>
        <w:t>MO</w:t>
      </w:r>
      <w:r w:rsidRPr="00281428">
        <w:rPr>
          <w:b w:val="0"/>
        </w:rPr>
        <w:t xml:space="preserve">) commented that this language change is important, and he wants this item to move forward in case the items in Block </w:t>
      </w:r>
      <w:r w:rsidRPr="00281428">
        <w:rPr>
          <w:b w:val="0"/>
          <w:spacing w:val="2"/>
        </w:rPr>
        <w:t>2</w:t>
      </w:r>
      <w:r w:rsidR="004F19F8" w:rsidRPr="00281428">
        <w:rPr>
          <w:b w:val="0"/>
          <w:spacing w:val="2"/>
        </w:rPr>
        <w:t xml:space="preserve"> for</w:t>
      </w:r>
      <w:r w:rsidRPr="00281428">
        <w:rPr>
          <w:b w:val="0"/>
          <w:spacing w:val="2"/>
        </w:rPr>
        <w:t xml:space="preserve"> </w:t>
      </w:r>
      <w:r w:rsidRPr="00281428">
        <w:rPr>
          <w:b w:val="0"/>
        </w:rPr>
        <w:t xml:space="preserve">Tractor Hydraulic Fluid are not adopted. </w:t>
      </w:r>
      <w:r w:rsidR="00C346F9" w:rsidRPr="00281428">
        <w:rPr>
          <w:b w:val="0"/>
        </w:rPr>
        <w:t xml:space="preserve"> </w:t>
      </w:r>
      <w:r w:rsidRPr="00281428">
        <w:rPr>
          <w:b w:val="0"/>
        </w:rPr>
        <w:t xml:space="preserve">Mr. Jeff Harmening (API) commented that he supports this item moving forward as a voting item. </w:t>
      </w:r>
      <w:r w:rsidR="00C346F9" w:rsidRPr="00281428">
        <w:rPr>
          <w:b w:val="0"/>
        </w:rPr>
        <w:t xml:space="preserve"> </w:t>
      </w:r>
      <w:r w:rsidRPr="00281428">
        <w:rPr>
          <w:b w:val="0"/>
        </w:rPr>
        <w:t>Mr. Charlie Stutesman (</w:t>
      </w:r>
      <w:r w:rsidR="005146ED">
        <w:rPr>
          <w:b w:val="0"/>
        </w:rPr>
        <w:t>KS</w:t>
      </w:r>
      <w:r w:rsidRPr="00281428">
        <w:rPr>
          <w:b w:val="0"/>
        </w:rPr>
        <w:t>) commented that he believes these changes are appropriate and supports this item moving</w:t>
      </w:r>
      <w:r w:rsidRPr="00281428">
        <w:rPr>
          <w:b w:val="0"/>
          <w:spacing w:val="-8"/>
        </w:rPr>
        <w:t xml:space="preserve"> </w:t>
      </w:r>
      <w:r w:rsidRPr="00281428">
        <w:rPr>
          <w:b w:val="0"/>
        </w:rPr>
        <w:t>forward</w:t>
      </w:r>
      <w:r w:rsidRPr="00281428">
        <w:rPr>
          <w:b w:val="0"/>
          <w:spacing w:val="-6"/>
        </w:rPr>
        <w:t xml:space="preserve"> </w:t>
      </w:r>
      <w:r w:rsidRPr="00281428">
        <w:rPr>
          <w:b w:val="0"/>
        </w:rPr>
        <w:t>as</w:t>
      </w:r>
      <w:r w:rsidRPr="00281428">
        <w:rPr>
          <w:b w:val="0"/>
          <w:spacing w:val="-7"/>
        </w:rPr>
        <w:t xml:space="preserve"> </w:t>
      </w:r>
      <w:r w:rsidRPr="00281428">
        <w:rPr>
          <w:b w:val="0"/>
        </w:rPr>
        <w:t>a</w:t>
      </w:r>
      <w:r w:rsidRPr="00281428">
        <w:rPr>
          <w:b w:val="0"/>
          <w:spacing w:val="-9"/>
        </w:rPr>
        <w:t xml:space="preserve"> </w:t>
      </w:r>
      <w:r w:rsidRPr="00281428">
        <w:rPr>
          <w:b w:val="0"/>
        </w:rPr>
        <w:t>voting</w:t>
      </w:r>
      <w:r w:rsidRPr="00281428">
        <w:rPr>
          <w:b w:val="0"/>
          <w:spacing w:val="-6"/>
        </w:rPr>
        <w:t xml:space="preserve"> </w:t>
      </w:r>
      <w:r w:rsidRPr="00281428">
        <w:rPr>
          <w:b w:val="0"/>
        </w:rPr>
        <w:t>item.</w:t>
      </w:r>
      <w:r w:rsidRPr="00281428">
        <w:rPr>
          <w:b w:val="0"/>
          <w:spacing w:val="41"/>
        </w:rPr>
        <w:t xml:space="preserve"> </w:t>
      </w:r>
      <w:r w:rsidR="005146ED">
        <w:rPr>
          <w:b w:val="0"/>
        </w:rPr>
        <w:t>Mr. Stutesman</w:t>
      </w:r>
      <w:r w:rsidRPr="00281428">
        <w:rPr>
          <w:b w:val="0"/>
          <w:spacing w:val="-9"/>
        </w:rPr>
        <w:t xml:space="preserve"> </w:t>
      </w:r>
      <w:r w:rsidRPr="00281428">
        <w:rPr>
          <w:b w:val="0"/>
        </w:rPr>
        <w:t>further</w:t>
      </w:r>
      <w:r w:rsidRPr="00281428">
        <w:rPr>
          <w:b w:val="0"/>
          <w:spacing w:val="-6"/>
        </w:rPr>
        <w:t xml:space="preserve"> </w:t>
      </w:r>
      <w:r w:rsidRPr="00281428">
        <w:rPr>
          <w:b w:val="0"/>
        </w:rPr>
        <w:t>stated</w:t>
      </w:r>
      <w:r w:rsidRPr="00281428">
        <w:rPr>
          <w:b w:val="0"/>
          <w:spacing w:val="-5"/>
        </w:rPr>
        <w:t xml:space="preserve"> </w:t>
      </w:r>
      <w:r w:rsidRPr="00281428">
        <w:rPr>
          <w:b w:val="0"/>
        </w:rPr>
        <w:t>that</w:t>
      </w:r>
      <w:r w:rsidRPr="00281428">
        <w:rPr>
          <w:b w:val="0"/>
          <w:spacing w:val="-7"/>
        </w:rPr>
        <w:t xml:space="preserve"> </w:t>
      </w:r>
      <w:r w:rsidRPr="00281428">
        <w:rPr>
          <w:b w:val="0"/>
        </w:rPr>
        <w:t>if</w:t>
      </w:r>
      <w:r w:rsidRPr="00281428">
        <w:rPr>
          <w:b w:val="0"/>
          <w:spacing w:val="-6"/>
        </w:rPr>
        <w:t xml:space="preserve"> </w:t>
      </w:r>
      <w:r w:rsidRPr="00281428">
        <w:rPr>
          <w:b w:val="0"/>
        </w:rPr>
        <w:t>these</w:t>
      </w:r>
      <w:r w:rsidRPr="00281428">
        <w:rPr>
          <w:b w:val="0"/>
          <w:spacing w:val="-6"/>
        </w:rPr>
        <w:t xml:space="preserve"> </w:t>
      </w:r>
      <w:r w:rsidRPr="00281428">
        <w:rPr>
          <w:b w:val="0"/>
        </w:rPr>
        <w:t>changes</w:t>
      </w:r>
      <w:r w:rsidRPr="00281428">
        <w:rPr>
          <w:b w:val="0"/>
          <w:spacing w:val="-6"/>
        </w:rPr>
        <w:t xml:space="preserve"> </w:t>
      </w:r>
      <w:r w:rsidRPr="00281428">
        <w:rPr>
          <w:b w:val="0"/>
        </w:rPr>
        <w:t>are</w:t>
      </w:r>
      <w:r w:rsidRPr="00281428">
        <w:rPr>
          <w:b w:val="0"/>
          <w:spacing w:val="-9"/>
        </w:rPr>
        <w:t xml:space="preserve"> </w:t>
      </w:r>
      <w:r w:rsidRPr="00281428">
        <w:rPr>
          <w:b w:val="0"/>
        </w:rPr>
        <w:t>included</w:t>
      </w:r>
      <w:r w:rsidRPr="00281428">
        <w:rPr>
          <w:b w:val="0"/>
          <w:spacing w:val="-6"/>
        </w:rPr>
        <w:t xml:space="preserve"> </w:t>
      </w:r>
      <w:r w:rsidRPr="00281428">
        <w:rPr>
          <w:b w:val="0"/>
        </w:rPr>
        <w:t>in</w:t>
      </w:r>
      <w:r w:rsidRPr="00281428">
        <w:rPr>
          <w:b w:val="0"/>
          <w:spacing w:val="-8"/>
        </w:rPr>
        <w:t xml:space="preserve"> </w:t>
      </w:r>
      <w:r w:rsidRPr="00281428">
        <w:rPr>
          <w:b w:val="0"/>
        </w:rPr>
        <w:t>Block</w:t>
      </w:r>
      <w:r w:rsidRPr="00281428">
        <w:rPr>
          <w:b w:val="0"/>
          <w:spacing w:val="-5"/>
        </w:rPr>
        <w:t xml:space="preserve"> </w:t>
      </w:r>
      <w:r w:rsidRPr="00281428">
        <w:rPr>
          <w:b w:val="0"/>
          <w:spacing w:val="2"/>
        </w:rPr>
        <w:t>2</w:t>
      </w:r>
      <w:r w:rsidR="005146ED">
        <w:rPr>
          <w:b w:val="0"/>
          <w:spacing w:val="2"/>
        </w:rPr>
        <w:t>:</w:t>
      </w:r>
      <w:r w:rsidRPr="00281428">
        <w:rPr>
          <w:b w:val="0"/>
          <w:spacing w:val="-9"/>
        </w:rPr>
        <w:t xml:space="preserve"> </w:t>
      </w:r>
      <w:r w:rsidRPr="00281428">
        <w:rPr>
          <w:b w:val="0"/>
        </w:rPr>
        <w:t>Tractor</w:t>
      </w:r>
      <w:r w:rsidRPr="00281428">
        <w:rPr>
          <w:b w:val="0"/>
          <w:spacing w:val="-7"/>
        </w:rPr>
        <w:t xml:space="preserve"> </w:t>
      </w:r>
      <w:r w:rsidRPr="00281428">
        <w:rPr>
          <w:b w:val="0"/>
        </w:rPr>
        <w:t>Hydraulic Fluid,</w:t>
      </w:r>
      <w:r w:rsidRPr="00281428">
        <w:rPr>
          <w:b w:val="0"/>
          <w:spacing w:val="-5"/>
        </w:rPr>
        <w:t xml:space="preserve"> </w:t>
      </w:r>
      <w:r w:rsidRPr="00281428">
        <w:rPr>
          <w:b w:val="0"/>
        </w:rPr>
        <w:t>he</w:t>
      </w:r>
      <w:r w:rsidRPr="00281428">
        <w:rPr>
          <w:b w:val="0"/>
          <w:spacing w:val="-4"/>
        </w:rPr>
        <w:t xml:space="preserve"> </w:t>
      </w:r>
      <w:r w:rsidRPr="00281428">
        <w:rPr>
          <w:b w:val="0"/>
        </w:rPr>
        <w:t>wants</w:t>
      </w:r>
      <w:r w:rsidRPr="00281428">
        <w:rPr>
          <w:b w:val="0"/>
          <w:spacing w:val="-7"/>
        </w:rPr>
        <w:t xml:space="preserve"> </w:t>
      </w:r>
      <w:r w:rsidRPr="00281428">
        <w:rPr>
          <w:b w:val="0"/>
        </w:rPr>
        <w:t>to</w:t>
      </w:r>
      <w:r w:rsidRPr="00281428">
        <w:rPr>
          <w:b w:val="0"/>
          <w:spacing w:val="-4"/>
        </w:rPr>
        <w:t xml:space="preserve"> </w:t>
      </w:r>
      <w:r w:rsidRPr="00281428">
        <w:rPr>
          <w:b w:val="0"/>
        </w:rPr>
        <w:t>ensure</w:t>
      </w:r>
      <w:r w:rsidRPr="00281428">
        <w:rPr>
          <w:b w:val="0"/>
          <w:spacing w:val="-5"/>
        </w:rPr>
        <w:t xml:space="preserve"> </w:t>
      </w:r>
      <w:r w:rsidRPr="00281428">
        <w:rPr>
          <w:b w:val="0"/>
        </w:rPr>
        <w:t>that</w:t>
      </w:r>
      <w:r w:rsidRPr="00281428">
        <w:rPr>
          <w:b w:val="0"/>
          <w:spacing w:val="-5"/>
        </w:rPr>
        <w:t xml:space="preserve"> </w:t>
      </w:r>
      <w:r w:rsidRPr="00281428">
        <w:rPr>
          <w:b w:val="0"/>
        </w:rPr>
        <w:t>this</w:t>
      </w:r>
      <w:r w:rsidRPr="00281428">
        <w:rPr>
          <w:b w:val="0"/>
          <w:spacing w:val="-7"/>
        </w:rPr>
        <w:t xml:space="preserve"> </w:t>
      </w:r>
      <w:r w:rsidRPr="00281428">
        <w:rPr>
          <w:b w:val="0"/>
        </w:rPr>
        <w:t>language</w:t>
      </w:r>
      <w:r w:rsidRPr="00281428">
        <w:rPr>
          <w:b w:val="0"/>
          <w:spacing w:val="-4"/>
        </w:rPr>
        <w:t xml:space="preserve"> </w:t>
      </w:r>
      <w:r w:rsidRPr="00281428">
        <w:rPr>
          <w:b w:val="0"/>
        </w:rPr>
        <w:t>change</w:t>
      </w:r>
      <w:r w:rsidRPr="00281428">
        <w:rPr>
          <w:b w:val="0"/>
          <w:spacing w:val="-5"/>
        </w:rPr>
        <w:t xml:space="preserve"> </w:t>
      </w:r>
      <w:r w:rsidRPr="00281428">
        <w:rPr>
          <w:b w:val="0"/>
        </w:rPr>
        <w:t>be</w:t>
      </w:r>
      <w:r w:rsidRPr="00281428">
        <w:rPr>
          <w:b w:val="0"/>
          <w:spacing w:val="-4"/>
        </w:rPr>
        <w:t xml:space="preserve"> </w:t>
      </w:r>
      <w:r w:rsidRPr="00281428">
        <w:rPr>
          <w:b w:val="0"/>
        </w:rPr>
        <w:t>a</w:t>
      </w:r>
      <w:r w:rsidRPr="00281428">
        <w:rPr>
          <w:b w:val="0"/>
          <w:spacing w:val="-5"/>
        </w:rPr>
        <w:t xml:space="preserve"> </w:t>
      </w:r>
      <w:r w:rsidRPr="00281428">
        <w:rPr>
          <w:b w:val="0"/>
        </w:rPr>
        <w:t>priority</w:t>
      </w:r>
      <w:r w:rsidRPr="00281428">
        <w:rPr>
          <w:b w:val="0"/>
          <w:spacing w:val="-4"/>
        </w:rPr>
        <w:t xml:space="preserve"> </w:t>
      </w:r>
      <w:proofErr w:type="gramStart"/>
      <w:r w:rsidRPr="00281428">
        <w:rPr>
          <w:b w:val="0"/>
        </w:rPr>
        <w:t>regardless</w:t>
      </w:r>
      <w:proofErr w:type="gramEnd"/>
      <w:r w:rsidRPr="00281428">
        <w:rPr>
          <w:b w:val="0"/>
          <w:spacing w:val="-7"/>
        </w:rPr>
        <w:t xml:space="preserve"> </w:t>
      </w:r>
      <w:r w:rsidRPr="00281428">
        <w:rPr>
          <w:b w:val="0"/>
        </w:rPr>
        <w:t>if</w:t>
      </w:r>
      <w:r w:rsidRPr="00281428">
        <w:rPr>
          <w:b w:val="0"/>
          <w:spacing w:val="-4"/>
        </w:rPr>
        <w:t xml:space="preserve"> </w:t>
      </w:r>
      <w:r w:rsidRPr="00281428">
        <w:rPr>
          <w:b w:val="0"/>
        </w:rPr>
        <w:t>all</w:t>
      </w:r>
      <w:r w:rsidRPr="00281428">
        <w:rPr>
          <w:b w:val="0"/>
          <w:spacing w:val="-6"/>
        </w:rPr>
        <w:t xml:space="preserve"> </w:t>
      </w:r>
      <w:r w:rsidRPr="00281428">
        <w:rPr>
          <w:b w:val="0"/>
        </w:rPr>
        <w:t>of</w:t>
      </w:r>
      <w:r w:rsidRPr="00281428">
        <w:rPr>
          <w:b w:val="0"/>
          <w:spacing w:val="-4"/>
        </w:rPr>
        <w:t xml:space="preserve"> </w:t>
      </w:r>
      <w:r w:rsidRPr="00281428">
        <w:rPr>
          <w:b w:val="0"/>
        </w:rPr>
        <w:t>Block</w:t>
      </w:r>
      <w:r w:rsidRPr="00281428">
        <w:rPr>
          <w:b w:val="0"/>
          <w:spacing w:val="-4"/>
        </w:rPr>
        <w:t xml:space="preserve"> </w:t>
      </w:r>
      <w:r w:rsidRPr="00281428">
        <w:rPr>
          <w:b w:val="0"/>
        </w:rPr>
        <w:t>2</w:t>
      </w:r>
      <w:r w:rsidRPr="00281428">
        <w:rPr>
          <w:b w:val="0"/>
          <w:spacing w:val="-4"/>
        </w:rPr>
        <w:t xml:space="preserve"> </w:t>
      </w:r>
      <w:r w:rsidRPr="00281428">
        <w:rPr>
          <w:b w:val="0"/>
        </w:rPr>
        <w:t>passes</w:t>
      </w:r>
      <w:r w:rsidRPr="00281428">
        <w:rPr>
          <w:b w:val="0"/>
          <w:spacing w:val="-6"/>
        </w:rPr>
        <w:t xml:space="preserve"> </w:t>
      </w:r>
      <w:r w:rsidRPr="00281428">
        <w:rPr>
          <w:b w:val="0"/>
        </w:rPr>
        <w:t>or</w:t>
      </w:r>
      <w:r w:rsidRPr="00281428">
        <w:rPr>
          <w:b w:val="0"/>
          <w:spacing w:val="-4"/>
        </w:rPr>
        <w:t xml:space="preserve"> </w:t>
      </w:r>
      <w:r w:rsidRPr="00281428">
        <w:rPr>
          <w:b w:val="0"/>
          <w:spacing w:val="2"/>
        </w:rPr>
        <w:t>not.</w:t>
      </w:r>
      <w:r w:rsidRPr="00281428">
        <w:rPr>
          <w:b w:val="0"/>
          <w:spacing w:val="40"/>
        </w:rPr>
        <w:t xml:space="preserve"> </w:t>
      </w:r>
      <w:r w:rsidRPr="00281428">
        <w:rPr>
          <w:b w:val="0"/>
        </w:rPr>
        <w:t>Ms.</w:t>
      </w:r>
      <w:r w:rsidRPr="00281428">
        <w:rPr>
          <w:b w:val="0"/>
          <w:spacing w:val="-5"/>
        </w:rPr>
        <w:t xml:space="preserve"> </w:t>
      </w:r>
      <w:r w:rsidRPr="00281428">
        <w:rPr>
          <w:b w:val="0"/>
        </w:rPr>
        <w:t>Lisa Warfield</w:t>
      </w:r>
      <w:r w:rsidRPr="00281428">
        <w:rPr>
          <w:b w:val="0"/>
          <w:spacing w:val="-12"/>
        </w:rPr>
        <w:t xml:space="preserve"> </w:t>
      </w:r>
      <w:r w:rsidRPr="00281428">
        <w:rPr>
          <w:b w:val="0"/>
        </w:rPr>
        <w:t>(NIST</w:t>
      </w:r>
      <w:r w:rsidR="005146ED">
        <w:rPr>
          <w:b w:val="0"/>
        </w:rPr>
        <w:t xml:space="preserve"> OWM</w:t>
      </w:r>
      <w:r w:rsidRPr="00281428">
        <w:rPr>
          <w:b w:val="0"/>
        </w:rPr>
        <w:t>)</w:t>
      </w:r>
      <w:r w:rsidRPr="00281428">
        <w:rPr>
          <w:b w:val="0"/>
          <w:spacing w:val="-12"/>
        </w:rPr>
        <w:t xml:space="preserve"> </w:t>
      </w:r>
      <w:r w:rsidRPr="00281428">
        <w:rPr>
          <w:b w:val="0"/>
        </w:rPr>
        <w:t>commented</w:t>
      </w:r>
      <w:r w:rsidRPr="00281428">
        <w:rPr>
          <w:b w:val="0"/>
          <w:spacing w:val="-12"/>
        </w:rPr>
        <w:t xml:space="preserve"> </w:t>
      </w:r>
      <w:r w:rsidRPr="00281428">
        <w:rPr>
          <w:b w:val="0"/>
        </w:rPr>
        <w:t>that</w:t>
      </w:r>
      <w:r w:rsidRPr="00281428">
        <w:rPr>
          <w:b w:val="0"/>
          <w:spacing w:val="-13"/>
        </w:rPr>
        <w:t xml:space="preserve"> </w:t>
      </w:r>
      <w:r w:rsidRPr="00281428">
        <w:rPr>
          <w:b w:val="0"/>
        </w:rPr>
        <w:t>the</w:t>
      </w:r>
      <w:r w:rsidRPr="00281428">
        <w:rPr>
          <w:b w:val="0"/>
          <w:spacing w:val="-13"/>
        </w:rPr>
        <w:t xml:space="preserve"> </w:t>
      </w:r>
      <w:r w:rsidRPr="00281428">
        <w:rPr>
          <w:b w:val="0"/>
        </w:rPr>
        <w:t>Block</w:t>
      </w:r>
      <w:r w:rsidRPr="00281428">
        <w:rPr>
          <w:b w:val="0"/>
          <w:spacing w:val="-12"/>
        </w:rPr>
        <w:t xml:space="preserve"> </w:t>
      </w:r>
      <w:r w:rsidRPr="00281428">
        <w:rPr>
          <w:b w:val="0"/>
        </w:rPr>
        <w:t>2</w:t>
      </w:r>
      <w:r w:rsidRPr="00281428">
        <w:rPr>
          <w:b w:val="0"/>
          <w:spacing w:val="-13"/>
        </w:rPr>
        <w:t xml:space="preserve"> </w:t>
      </w:r>
      <w:r w:rsidRPr="00281428">
        <w:rPr>
          <w:b w:val="0"/>
        </w:rPr>
        <w:t>item</w:t>
      </w:r>
      <w:r w:rsidRPr="00281428">
        <w:rPr>
          <w:b w:val="0"/>
          <w:spacing w:val="-12"/>
        </w:rPr>
        <w:t xml:space="preserve"> </w:t>
      </w:r>
      <w:r w:rsidRPr="00281428">
        <w:rPr>
          <w:b w:val="0"/>
        </w:rPr>
        <w:t>is</w:t>
      </w:r>
      <w:r w:rsidRPr="00281428">
        <w:rPr>
          <w:b w:val="0"/>
          <w:spacing w:val="-12"/>
        </w:rPr>
        <w:t xml:space="preserve"> </w:t>
      </w:r>
      <w:r w:rsidRPr="00281428">
        <w:rPr>
          <w:b w:val="0"/>
        </w:rPr>
        <w:t>on</w:t>
      </w:r>
      <w:r w:rsidRPr="00281428">
        <w:rPr>
          <w:b w:val="0"/>
          <w:spacing w:val="-12"/>
        </w:rPr>
        <w:t xml:space="preserve"> </w:t>
      </w:r>
      <w:r w:rsidRPr="00281428">
        <w:rPr>
          <w:b w:val="0"/>
        </w:rPr>
        <w:t>the</w:t>
      </w:r>
      <w:r w:rsidRPr="00281428">
        <w:rPr>
          <w:b w:val="0"/>
          <w:spacing w:val="-9"/>
        </w:rPr>
        <w:t xml:space="preserve"> </w:t>
      </w:r>
      <w:r w:rsidRPr="00281428">
        <w:rPr>
          <w:b w:val="0"/>
        </w:rPr>
        <w:t>NCWM</w:t>
      </w:r>
      <w:r w:rsidRPr="00281428">
        <w:rPr>
          <w:b w:val="0"/>
          <w:spacing w:val="-14"/>
        </w:rPr>
        <w:t xml:space="preserve"> </w:t>
      </w:r>
      <w:r w:rsidRPr="00281428">
        <w:rPr>
          <w:b w:val="0"/>
        </w:rPr>
        <w:t>Annual</w:t>
      </w:r>
      <w:r w:rsidRPr="00281428">
        <w:rPr>
          <w:b w:val="0"/>
          <w:spacing w:val="-12"/>
        </w:rPr>
        <w:t xml:space="preserve"> </w:t>
      </w:r>
      <w:r w:rsidRPr="00281428">
        <w:rPr>
          <w:b w:val="0"/>
        </w:rPr>
        <w:t>Meeting</w:t>
      </w:r>
      <w:r w:rsidRPr="00281428">
        <w:rPr>
          <w:b w:val="0"/>
          <w:spacing w:val="-12"/>
        </w:rPr>
        <w:t xml:space="preserve"> </w:t>
      </w:r>
      <w:r w:rsidRPr="00281428">
        <w:rPr>
          <w:b w:val="0"/>
        </w:rPr>
        <w:t>agenda</w:t>
      </w:r>
      <w:r w:rsidRPr="00281428">
        <w:rPr>
          <w:b w:val="0"/>
          <w:spacing w:val="-13"/>
        </w:rPr>
        <w:t xml:space="preserve"> </w:t>
      </w:r>
      <w:r w:rsidRPr="00281428">
        <w:rPr>
          <w:b w:val="0"/>
        </w:rPr>
        <w:t>and</w:t>
      </w:r>
      <w:r w:rsidRPr="00281428">
        <w:rPr>
          <w:b w:val="0"/>
          <w:spacing w:val="-12"/>
        </w:rPr>
        <w:t xml:space="preserve"> </w:t>
      </w:r>
      <w:r w:rsidRPr="00281428">
        <w:rPr>
          <w:b w:val="0"/>
        </w:rPr>
        <w:t>will</w:t>
      </w:r>
      <w:r w:rsidRPr="00281428">
        <w:rPr>
          <w:b w:val="0"/>
          <w:spacing w:val="-13"/>
        </w:rPr>
        <w:t xml:space="preserve"> </w:t>
      </w:r>
      <w:r w:rsidRPr="00281428">
        <w:rPr>
          <w:b w:val="0"/>
        </w:rPr>
        <w:t>be</w:t>
      </w:r>
      <w:r w:rsidRPr="00281428">
        <w:rPr>
          <w:b w:val="0"/>
          <w:spacing w:val="-14"/>
        </w:rPr>
        <w:t xml:space="preserve"> </w:t>
      </w:r>
      <w:r w:rsidRPr="00281428">
        <w:rPr>
          <w:b w:val="0"/>
        </w:rPr>
        <w:t xml:space="preserve">determined prior to this item’s consideration. </w:t>
      </w:r>
      <w:r w:rsidR="00C346F9" w:rsidRPr="00281428">
        <w:rPr>
          <w:b w:val="0"/>
        </w:rPr>
        <w:t xml:space="preserve"> </w:t>
      </w:r>
      <w:r w:rsidRPr="00281428">
        <w:rPr>
          <w:b w:val="0"/>
        </w:rPr>
        <w:t xml:space="preserve">Mr. Hayes commented that this item should have voting status. </w:t>
      </w:r>
      <w:r w:rsidR="00C346F9" w:rsidRPr="00281428">
        <w:rPr>
          <w:b w:val="0"/>
        </w:rPr>
        <w:t xml:space="preserve"> </w:t>
      </w:r>
      <w:r w:rsidRPr="00281428">
        <w:rPr>
          <w:b w:val="0"/>
        </w:rPr>
        <w:t>Ms. Warfield commented that if Block 2 does</w:t>
      </w:r>
      <w:r w:rsidR="001C7FB7" w:rsidRPr="00281428">
        <w:rPr>
          <w:b w:val="0"/>
        </w:rPr>
        <w:t xml:space="preserve"> not</w:t>
      </w:r>
      <w:r w:rsidRPr="00281428">
        <w:rPr>
          <w:b w:val="0"/>
        </w:rPr>
        <w:t xml:space="preserve"> move forward in entirety, some changes in this item could still pass if the </w:t>
      </w:r>
      <w:r w:rsidR="00E5138E">
        <w:rPr>
          <w:b w:val="0"/>
        </w:rPr>
        <w:t>NCWM</w:t>
      </w:r>
      <w:r w:rsidRPr="00281428">
        <w:rPr>
          <w:b w:val="0"/>
        </w:rPr>
        <w:t xml:space="preserve"> </w:t>
      </w:r>
      <w:r w:rsidR="00C346F9" w:rsidRPr="00281428">
        <w:rPr>
          <w:b w:val="0"/>
        </w:rPr>
        <w:t>L&amp;R</w:t>
      </w:r>
      <w:r w:rsidR="00E5138E">
        <w:rPr>
          <w:b w:val="0"/>
        </w:rPr>
        <w:t xml:space="preserve"> Committee</w:t>
      </w:r>
      <w:r w:rsidR="00C346F9" w:rsidRPr="00281428">
        <w:rPr>
          <w:b w:val="0"/>
        </w:rPr>
        <w:t xml:space="preserve"> </w:t>
      </w:r>
      <w:r w:rsidRPr="00281428">
        <w:rPr>
          <w:b w:val="0"/>
        </w:rPr>
        <w:t>only moved forward the language they felt would be adopted.</w:t>
      </w:r>
      <w:r w:rsidRPr="00281428">
        <w:rPr>
          <w:b w:val="0"/>
          <w:spacing w:val="-5"/>
        </w:rPr>
        <w:t xml:space="preserve"> </w:t>
      </w:r>
      <w:r w:rsidR="00C346F9" w:rsidRPr="00281428">
        <w:rPr>
          <w:b w:val="0"/>
          <w:spacing w:val="-5"/>
        </w:rPr>
        <w:t xml:space="preserve"> </w:t>
      </w:r>
      <w:r w:rsidRPr="00281428">
        <w:rPr>
          <w:b w:val="0"/>
        </w:rPr>
        <w:t>Based on the discussions held during open hearings and Committee work session, the recommendation for this item is to become a Voting</w:t>
      </w:r>
      <w:r w:rsidRPr="00281428">
        <w:rPr>
          <w:b w:val="0"/>
          <w:spacing w:val="-2"/>
        </w:rPr>
        <w:t xml:space="preserve"> </w:t>
      </w:r>
      <w:r w:rsidRPr="00281428">
        <w:rPr>
          <w:b w:val="0"/>
        </w:rPr>
        <w:t>item.</w:t>
      </w:r>
    </w:p>
    <w:p w14:paraId="1B733DBD" w14:textId="32EF22A7" w:rsidR="00CF3F44" w:rsidRPr="00281428" w:rsidRDefault="00CF3F44" w:rsidP="00CF3F44">
      <w:pPr>
        <w:rPr>
          <w:szCs w:val="20"/>
        </w:rPr>
      </w:pPr>
      <w:r w:rsidRPr="00281428">
        <w:rPr>
          <w:bCs/>
        </w:rPr>
        <w:t xml:space="preserve">Additional letters, presentation and data may have been submitted for consideration with this item. Please refer to </w:t>
      </w:r>
      <w:hyperlink r:id="rId35" w:history="1">
        <w:r w:rsidR="00211511" w:rsidRPr="00A766AF">
          <w:rPr>
            <w:rStyle w:val="Hyperlink"/>
            <w:noProof w:val="0"/>
            <w:color w:val="0000FF"/>
          </w:rPr>
          <w:t>https://www.ncwm.com/publication-16</w:t>
        </w:r>
      </w:hyperlink>
      <w:r w:rsidR="001C7FB7" w:rsidRPr="00281428">
        <w:rPr>
          <w:rFonts w:ascii="Times New Roman Bold" w:hAnsi="Times New Roman Bold"/>
          <w:b/>
          <w:noProof/>
        </w:rPr>
        <w:t xml:space="preserve"> </w:t>
      </w:r>
      <w:r w:rsidRPr="00281428">
        <w:rPr>
          <w:bCs/>
        </w:rPr>
        <w:t>to review these documents.</w:t>
      </w:r>
    </w:p>
    <w:p w14:paraId="72CBC69B" w14:textId="06080618" w:rsidR="00FF428D" w:rsidRPr="00281428" w:rsidRDefault="00FF428D" w:rsidP="00EC5EA2">
      <w:pPr>
        <w:pStyle w:val="Heading1"/>
      </w:pPr>
      <w:bookmarkStart w:id="169" w:name="_Toc65741457"/>
      <w:r w:rsidRPr="00281428">
        <w:t>net – handbook 133</w:t>
      </w:r>
      <w:bookmarkEnd w:id="169"/>
    </w:p>
    <w:p w14:paraId="6E53BE79" w14:textId="16E46D9A" w:rsidR="00C039A0" w:rsidRPr="00281428" w:rsidRDefault="00C039A0" w:rsidP="00810172">
      <w:pPr>
        <w:pStyle w:val="ItemHeading"/>
      </w:pPr>
      <w:bookmarkStart w:id="170" w:name="_Toc464054896"/>
      <w:bookmarkStart w:id="171" w:name="_Toc464055294"/>
      <w:bookmarkStart w:id="172" w:name="_Toc464055905"/>
      <w:bookmarkStart w:id="173" w:name="_Toc464056153"/>
      <w:bookmarkStart w:id="174" w:name="_Toc464056398"/>
      <w:bookmarkStart w:id="175" w:name="_Toc464056648"/>
      <w:bookmarkStart w:id="176" w:name="_Toc464108963"/>
      <w:bookmarkStart w:id="177" w:name="_Toc464109311"/>
      <w:bookmarkStart w:id="178" w:name="_Toc464109788"/>
      <w:bookmarkStart w:id="179" w:name="_Toc464123864"/>
      <w:bookmarkStart w:id="180" w:name="_Toc464124106"/>
      <w:bookmarkStart w:id="181" w:name="_Toc464124590"/>
      <w:bookmarkStart w:id="182" w:name="_Toc487504885"/>
      <w:bookmarkStart w:id="183" w:name="_Toc487504888"/>
      <w:bookmarkStart w:id="184" w:name="_Toc464482691"/>
      <w:bookmarkStart w:id="185" w:name="_Toc464482957"/>
      <w:bookmarkStart w:id="186" w:name="_Toc464483217"/>
      <w:bookmarkStart w:id="187" w:name="_Toc464483483"/>
      <w:bookmarkStart w:id="188" w:name="_Toc464483755"/>
      <w:bookmarkStart w:id="189" w:name="_Toc464484021"/>
      <w:bookmarkStart w:id="190" w:name="_Toc464484460"/>
      <w:bookmarkStart w:id="191" w:name="_Toc464484741"/>
      <w:bookmarkStart w:id="192" w:name="_Toc464488193"/>
      <w:bookmarkStart w:id="193" w:name="_Toc464743065"/>
      <w:bookmarkStart w:id="194" w:name="_Toc464743697"/>
      <w:bookmarkStart w:id="195" w:name="_Toc464744927"/>
      <w:bookmarkStart w:id="196" w:name="_Toc464745476"/>
      <w:bookmarkStart w:id="197" w:name="_Toc464745985"/>
      <w:bookmarkStart w:id="198" w:name="_Toc464747011"/>
      <w:bookmarkStart w:id="199" w:name="_Toc464747289"/>
      <w:bookmarkStart w:id="200" w:name="_Toc464747573"/>
      <w:bookmarkStart w:id="201" w:name="_Toc464747845"/>
      <w:bookmarkStart w:id="202" w:name="_Toc464748596"/>
      <w:bookmarkStart w:id="203" w:name="_Toc464749328"/>
      <w:bookmarkStart w:id="204" w:name="_Toc465148910"/>
      <w:bookmarkStart w:id="205" w:name="_Toc465167911"/>
      <w:bookmarkStart w:id="206" w:name="_Toc489943192"/>
      <w:bookmarkStart w:id="207" w:name="_Toc489943482"/>
      <w:bookmarkStart w:id="208" w:name="_Toc489943772"/>
      <w:bookmarkStart w:id="209" w:name="_Toc491156257"/>
      <w:bookmarkStart w:id="210" w:name="_Toc491157107"/>
      <w:bookmarkStart w:id="211" w:name="_Toc491157402"/>
      <w:bookmarkStart w:id="212" w:name="_Toc491157696"/>
      <w:bookmarkStart w:id="213" w:name="_Toc491157988"/>
      <w:bookmarkStart w:id="214" w:name="_Toc491178429"/>
      <w:bookmarkStart w:id="215" w:name="_Toc491180101"/>
      <w:bookmarkStart w:id="216" w:name="_Toc491180395"/>
      <w:bookmarkStart w:id="217" w:name="_Toc491180771"/>
      <w:bookmarkStart w:id="218" w:name="_Toc491181491"/>
      <w:bookmarkStart w:id="219" w:name="_Toc491183100"/>
      <w:bookmarkStart w:id="220" w:name="_Toc491183384"/>
      <w:bookmarkStart w:id="221" w:name="_Toc491184622"/>
      <w:bookmarkStart w:id="222" w:name="_Toc491184907"/>
      <w:bookmarkStart w:id="223" w:name="_Toc491185187"/>
      <w:bookmarkStart w:id="224" w:name="_Toc491185463"/>
      <w:bookmarkStart w:id="225" w:name="_Toc491250077"/>
      <w:bookmarkStart w:id="226" w:name="_Toc491261934"/>
      <w:bookmarkStart w:id="227" w:name="_Toc491263439"/>
      <w:bookmarkStart w:id="228" w:name="_Toc491265474"/>
      <w:bookmarkStart w:id="229" w:name="_Toc491265768"/>
      <w:bookmarkStart w:id="230" w:name="_Toc491266062"/>
      <w:bookmarkStart w:id="231" w:name="_Toc491267221"/>
      <w:bookmarkStart w:id="232" w:name="_Toc491268006"/>
      <w:bookmarkStart w:id="233" w:name="_Toc491268515"/>
      <w:bookmarkStart w:id="234" w:name="_Toc491324843"/>
      <w:bookmarkStart w:id="235" w:name="_Toc491325261"/>
      <w:bookmarkStart w:id="236" w:name="_Toc491325532"/>
      <w:bookmarkStart w:id="237" w:name="_Toc491325804"/>
      <w:bookmarkStart w:id="238" w:name="_Toc491326227"/>
      <w:bookmarkStart w:id="239" w:name="_Toc491326640"/>
      <w:bookmarkStart w:id="240" w:name="_Toc491326910"/>
      <w:bookmarkStart w:id="241" w:name="_Toc491327182"/>
      <w:bookmarkStart w:id="242" w:name="_Toc491775752"/>
      <w:bookmarkStart w:id="243" w:name="_Toc491776420"/>
      <w:bookmarkStart w:id="244" w:name="_Toc491776878"/>
      <w:bookmarkStart w:id="245" w:name="_Toc491777680"/>
      <w:bookmarkStart w:id="246" w:name="_Toc491777972"/>
      <w:bookmarkStart w:id="247" w:name="_Toc491778263"/>
      <w:bookmarkStart w:id="248" w:name="_Toc491843075"/>
      <w:bookmarkStart w:id="249" w:name="_Toc492389563"/>
      <w:bookmarkStart w:id="250" w:name="_Toc492568412"/>
      <w:bookmarkStart w:id="251" w:name="_Toc492982164"/>
      <w:bookmarkStart w:id="252" w:name="_Toc492982462"/>
      <w:bookmarkStart w:id="253" w:name="_Toc492983024"/>
      <w:bookmarkStart w:id="254" w:name="_Toc492983542"/>
      <w:bookmarkStart w:id="255" w:name="_Toc492984211"/>
      <w:bookmarkStart w:id="256" w:name="_Toc492984510"/>
      <w:bookmarkStart w:id="257" w:name="_Toc492984809"/>
      <w:bookmarkStart w:id="258" w:name="_Toc493079154"/>
      <w:bookmarkStart w:id="259" w:name="_Toc493079452"/>
      <w:bookmarkStart w:id="260" w:name="_Toc493079751"/>
      <w:bookmarkStart w:id="261" w:name="_Toc493162476"/>
      <w:bookmarkStart w:id="262" w:name="_Toc493162779"/>
      <w:bookmarkStart w:id="263" w:name="_Toc494097139"/>
      <w:bookmarkStart w:id="264" w:name="_Toc494103102"/>
      <w:bookmarkStart w:id="265" w:name="_Toc494109344"/>
      <w:bookmarkStart w:id="266" w:name="_Toc494109642"/>
      <w:bookmarkStart w:id="267" w:name="_Toc494110619"/>
      <w:bookmarkStart w:id="268" w:name="_Toc494113407"/>
      <w:bookmarkStart w:id="269" w:name="_Toc494113705"/>
      <w:bookmarkStart w:id="270" w:name="_Toc494114300"/>
      <w:bookmarkStart w:id="271" w:name="_Toc494114598"/>
      <w:bookmarkStart w:id="272" w:name="_Toc494114896"/>
      <w:bookmarkStart w:id="273" w:name="_Toc494352337"/>
      <w:bookmarkStart w:id="274" w:name="_Toc495584478"/>
      <w:bookmarkStart w:id="275" w:name="_Toc496090006"/>
      <w:bookmarkStart w:id="276" w:name="_Toc496090355"/>
      <w:bookmarkStart w:id="277" w:name="_Toc496091119"/>
      <w:bookmarkStart w:id="278" w:name="_Toc496091415"/>
      <w:bookmarkStart w:id="279" w:name="_Toc496108538"/>
      <w:bookmarkStart w:id="280" w:name="_Toc487504903"/>
      <w:bookmarkStart w:id="281" w:name="_Toc464054902"/>
      <w:bookmarkStart w:id="282" w:name="_Toc464055300"/>
      <w:bookmarkStart w:id="283" w:name="_Toc464055911"/>
      <w:bookmarkStart w:id="284" w:name="_Toc464056159"/>
      <w:bookmarkStart w:id="285" w:name="_Toc464056404"/>
      <w:bookmarkStart w:id="286" w:name="_Toc464056654"/>
      <w:bookmarkStart w:id="287" w:name="_Toc464108969"/>
      <w:bookmarkStart w:id="288" w:name="_Toc464109317"/>
      <w:bookmarkStart w:id="289" w:name="_Toc464109794"/>
      <w:bookmarkStart w:id="290" w:name="_Toc464123870"/>
      <w:bookmarkStart w:id="291" w:name="_Toc464124112"/>
      <w:bookmarkStart w:id="292" w:name="_Toc464124596"/>
      <w:bookmarkStart w:id="293" w:name="_Toc487504912"/>
      <w:bookmarkStart w:id="294" w:name="_Toc65741458"/>
      <w:bookmarkStart w:id="295" w:name="_Hlk31613451"/>
      <w:bookmarkStart w:id="296" w:name="_Toc459620581"/>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281428">
        <w:t>NET-</w:t>
      </w:r>
      <w:r w:rsidR="00B841BE" w:rsidRPr="00281428">
        <w:t>16.1</w:t>
      </w:r>
      <w:r w:rsidRPr="00281428">
        <w:tab/>
      </w:r>
      <w:r w:rsidR="00C346F9" w:rsidRPr="00281428">
        <w:t>W</w:t>
      </w:r>
      <w:r w:rsidRPr="00281428">
        <w:tab/>
      </w:r>
      <w:r w:rsidR="008B5F57" w:rsidRPr="00281428">
        <w:t xml:space="preserve">Section </w:t>
      </w:r>
      <w:r w:rsidR="00D75D22" w:rsidRPr="00281428">
        <w:t xml:space="preserve">3.X. </w:t>
      </w:r>
      <w:r w:rsidRPr="00281428">
        <w:t>Recognize the Use of Digital Density Meters</w:t>
      </w:r>
      <w:bookmarkEnd w:id="294"/>
    </w:p>
    <w:p w14:paraId="1DBF25D7" w14:textId="77777777" w:rsidR="00C039A0" w:rsidRPr="00281428" w:rsidRDefault="00C039A0" w:rsidP="000803DF">
      <w:pPr>
        <w:spacing w:after="0"/>
        <w:rPr>
          <w:b/>
        </w:rPr>
      </w:pPr>
      <w:r w:rsidRPr="00281428">
        <w:rPr>
          <w:b/>
        </w:rPr>
        <w:t xml:space="preserve">Source:  </w:t>
      </w:r>
    </w:p>
    <w:p w14:paraId="491B6293" w14:textId="4D3C5C04" w:rsidR="00C039A0" w:rsidRPr="00281428" w:rsidRDefault="00C039A0" w:rsidP="000803DF">
      <w:r w:rsidRPr="00281428">
        <w:t xml:space="preserve">Missouri </w:t>
      </w:r>
    </w:p>
    <w:p w14:paraId="3AA18775" w14:textId="77777777" w:rsidR="00C039A0" w:rsidRPr="00281428" w:rsidRDefault="00C039A0" w:rsidP="000803DF">
      <w:pPr>
        <w:keepNext/>
        <w:spacing w:after="0"/>
        <w:rPr>
          <w:b/>
        </w:rPr>
      </w:pPr>
      <w:r w:rsidRPr="00281428">
        <w:rPr>
          <w:b/>
        </w:rPr>
        <w:t xml:space="preserve">Purpose:  </w:t>
      </w:r>
    </w:p>
    <w:p w14:paraId="61D6561D" w14:textId="77777777" w:rsidR="00C039A0" w:rsidRPr="00281428" w:rsidRDefault="00C039A0" w:rsidP="000803DF">
      <w:pPr>
        <w:rPr>
          <w:szCs w:val="20"/>
        </w:rPr>
      </w:pPr>
      <w:r w:rsidRPr="00281428">
        <w:rPr>
          <w:szCs w:val="20"/>
        </w:rPr>
        <w:t xml:space="preserve">Allow the use of digital density meters for package checking testing of </w:t>
      </w:r>
      <w:bookmarkStart w:id="297" w:name="_Hlk61637437"/>
      <w:r w:rsidRPr="00281428">
        <w:rPr>
          <w:szCs w:val="20"/>
        </w:rPr>
        <w:t>viscous fluids such as motor oils, diesel exhaust fluid (DEF), and antifreeze</w:t>
      </w:r>
      <w:bookmarkEnd w:id="297"/>
      <w:r w:rsidRPr="00281428">
        <w:rPr>
          <w:szCs w:val="20"/>
        </w:rPr>
        <w:t>.</w:t>
      </w:r>
    </w:p>
    <w:p w14:paraId="76B282BB" w14:textId="77777777" w:rsidR="00C039A0" w:rsidRPr="00281428" w:rsidRDefault="00C039A0" w:rsidP="000803DF">
      <w:pPr>
        <w:keepNext/>
        <w:spacing w:after="0"/>
        <w:rPr>
          <w:b/>
        </w:rPr>
      </w:pPr>
      <w:r w:rsidRPr="00281428">
        <w:rPr>
          <w:b/>
        </w:rPr>
        <w:t xml:space="preserve">Item </w:t>
      </w:r>
      <w:r w:rsidR="007F08D7" w:rsidRPr="00281428">
        <w:rPr>
          <w:b/>
        </w:rPr>
        <w:t>U</w:t>
      </w:r>
      <w:r w:rsidRPr="00281428">
        <w:rPr>
          <w:b/>
        </w:rPr>
        <w:t xml:space="preserve">nder Consideration:  </w:t>
      </w:r>
    </w:p>
    <w:p w14:paraId="394E24DD" w14:textId="0976869B" w:rsidR="00C039A0" w:rsidRPr="00281428" w:rsidRDefault="00C039A0" w:rsidP="000803DF">
      <w:r w:rsidRPr="00281428">
        <w:t>Amend Handbook 133 as follows:</w:t>
      </w:r>
    </w:p>
    <w:p w14:paraId="21241C98" w14:textId="77777777" w:rsidR="00F837E2" w:rsidRPr="00281428" w:rsidRDefault="00F837E2" w:rsidP="00F837E2">
      <w:pPr>
        <w:rPr>
          <w:b/>
          <w:u w:val="single"/>
        </w:rPr>
      </w:pPr>
      <w:r w:rsidRPr="00281428">
        <w:rPr>
          <w:b/>
          <w:u w:val="single"/>
        </w:rPr>
        <w:t>3.X.  Volumetric Test Procedure for Viscous and Non-Viscous Liquids by Portable Digital Density Meter</w:t>
      </w:r>
    </w:p>
    <w:p w14:paraId="0169AAD2" w14:textId="77777777" w:rsidR="00F837E2" w:rsidRPr="00281428" w:rsidRDefault="00F837E2" w:rsidP="00D42201">
      <w:pPr>
        <w:rPr>
          <w:b/>
          <w:u w:val="single"/>
        </w:rPr>
      </w:pPr>
      <w:r w:rsidRPr="00281428">
        <w:rPr>
          <w:b/>
          <w:u w:val="single"/>
        </w:rPr>
        <w:lastRenderedPageBreak/>
        <w:t>This test method is suitable for measuring the density of dairy products such as milk and half and half, petroleum products such as fuel and paint thinner, fruit drinks such as pulp-free juices, syrups, vegetable oils, as well as other viscous and non-viscous liquids.</w:t>
      </w:r>
    </w:p>
    <w:p w14:paraId="4DCAE539" w14:textId="77777777" w:rsidR="00F837E2" w:rsidRPr="00281428" w:rsidRDefault="00F837E2" w:rsidP="00D42201">
      <w:pPr>
        <w:rPr>
          <w:b/>
          <w:u w:val="single"/>
        </w:rPr>
      </w:pPr>
      <w:r w:rsidRPr="00281428">
        <w:rPr>
          <w:b/>
          <w:u w:val="single"/>
        </w:rPr>
        <w:t xml:space="preserve">This test method is not recommended for high pulp or carbonated products (soda, beer, etc.) and all products tested should be free of suspended gas, air, sediment, or substances not approved by the digital density meter manufacturer. </w:t>
      </w:r>
    </w:p>
    <w:p w14:paraId="7BC8989E" w14:textId="08AB9C63" w:rsidR="00F837E2" w:rsidRPr="00281428" w:rsidRDefault="00F837E2" w:rsidP="00D42201">
      <w:pPr>
        <w:ind w:left="360"/>
        <w:rPr>
          <w:b/>
          <w:u w:val="single"/>
        </w:rPr>
      </w:pPr>
      <w:r w:rsidRPr="00281428">
        <w:rPr>
          <w:b/>
          <w:u w:val="single"/>
        </w:rPr>
        <w:t>3.X.1</w:t>
      </w:r>
      <w:r w:rsidR="005D6841" w:rsidRPr="00281428">
        <w:rPr>
          <w:b/>
          <w:u w:val="single"/>
        </w:rPr>
        <w:t xml:space="preserve">.  </w:t>
      </w:r>
      <w:r w:rsidRPr="00281428">
        <w:rPr>
          <w:b/>
          <w:u w:val="single"/>
        </w:rPr>
        <w:t xml:space="preserve">Test Equipment </w:t>
      </w:r>
    </w:p>
    <w:p w14:paraId="5993D3B1" w14:textId="77777777" w:rsidR="00F837E2" w:rsidRPr="00281428" w:rsidRDefault="00F837E2" w:rsidP="00D42201">
      <w:pPr>
        <w:pStyle w:val="Bullet"/>
        <w:tabs>
          <w:tab w:val="num" w:pos="1080"/>
        </w:tabs>
        <w:spacing w:after="240"/>
        <w:ind w:left="1080" w:hanging="360"/>
        <w:rPr>
          <w:b/>
          <w:sz w:val="20"/>
          <w:u w:val="single"/>
        </w:rPr>
      </w:pPr>
      <w:bookmarkStart w:id="298" w:name="_Toc237428967"/>
      <w:bookmarkStart w:id="299" w:name="_Toc237416651"/>
      <w:bookmarkStart w:id="300" w:name="_Toc237415677"/>
      <w:bookmarkStart w:id="301" w:name="_Toc226190706"/>
      <w:r w:rsidRPr="00281428">
        <w:rPr>
          <w:b/>
          <w:sz w:val="20"/>
          <w:u w:val="single"/>
        </w:rPr>
        <w:t>A scale that meets the requirements in Chapter 2, Section 2.2. “Measurement Standards and Test Equipment.”</w:t>
      </w:r>
      <w:bookmarkEnd w:id="298"/>
      <w:bookmarkEnd w:id="299"/>
      <w:bookmarkEnd w:id="300"/>
      <w:bookmarkEnd w:id="301"/>
    </w:p>
    <w:p w14:paraId="7F17923C" w14:textId="439AC18F" w:rsidR="00D42201" w:rsidRPr="00281428" w:rsidRDefault="00F837E2" w:rsidP="00AF57DC">
      <w:pPr>
        <w:ind w:left="1080"/>
        <w:rPr>
          <w:b/>
          <w:u w:val="single"/>
        </w:rPr>
      </w:pPr>
      <w:r w:rsidRPr="00281428">
        <w:rPr>
          <w:b/>
          <w:u w:val="single"/>
        </w:rPr>
        <w:t>Note:  To verify that the scale has adequate resolution for use, it is first necessary to determine the density of the liquid; next verify that the scale division is no larger than MAV/6 for the package size under test.  The smallest graduation on the scale must not exceed the weight value for MAV/6.</w:t>
      </w:r>
    </w:p>
    <w:p w14:paraId="071682B9" w14:textId="77777777" w:rsidR="00AF57DC" w:rsidRPr="00281428" w:rsidRDefault="00AF57DC" w:rsidP="001C7FB7">
      <w:pPr>
        <w:ind w:left="1080"/>
        <w:rPr>
          <w:b/>
          <w:bCs/>
          <w:u w:val="single"/>
        </w:rPr>
      </w:pPr>
      <w:r w:rsidRPr="00281428">
        <w:rPr>
          <w:b/>
          <w:bCs/>
          <w:u w:val="single"/>
        </w:rPr>
        <w:t xml:space="preserve">Example:  </w:t>
      </w:r>
    </w:p>
    <w:p w14:paraId="05A1A231" w14:textId="77777777" w:rsidR="00AF57DC" w:rsidRPr="00281428" w:rsidRDefault="00AF57DC" w:rsidP="001C7FB7">
      <w:pPr>
        <w:ind w:left="1080"/>
        <w:rPr>
          <w:b/>
          <w:i/>
          <w:u w:val="single"/>
        </w:rPr>
      </w:pPr>
      <w:r w:rsidRPr="00281428">
        <w:rPr>
          <w:b/>
          <w:i/>
          <w:u w:val="single"/>
        </w:rPr>
        <w:t xml:space="preserve">Assume the inspector is using a scale with 1 g (0.002 lb) increments to test packages labeled 1 L (33.8 fl oz) that have an MAV of 29 mL (1 fl oz).  Also, assume the inspector finds that the weight of 1 L of the liquid is 943 g (2.078 lb).  </w:t>
      </w:r>
    </w:p>
    <w:p w14:paraId="24D7E102" w14:textId="77777777" w:rsidR="00AF57DC" w:rsidRPr="00281428" w:rsidRDefault="00AF57DC" w:rsidP="001C7FB7">
      <w:pPr>
        <w:ind w:left="1440"/>
        <w:rPr>
          <w:b/>
          <w:i/>
          <w:u w:val="single"/>
          <w:lang w:val="es-BO"/>
        </w:rPr>
      </w:pPr>
      <w:r w:rsidRPr="00281428">
        <w:rPr>
          <w:b/>
          <w:bCs/>
          <w:i/>
          <w:u w:val="single"/>
          <w:lang w:val="es-BO"/>
        </w:rPr>
        <w:t>Density:</w:t>
      </w:r>
      <w:r w:rsidRPr="00281428">
        <w:rPr>
          <w:b/>
          <w:i/>
          <w:u w:val="single"/>
          <w:lang w:val="es-BO"/>
        </w:rPr>
        <w:t xml:space="preserve">  1 L = 943 g (2.078 lb)</w:t>
      </w:r>
    </w:p>
    <w:p w14:paraId="08DFCDD7" w14:textId="77777777" w:rsidR="00AF57DC" w:rsidRPr="00281428" w:rsidRDefault="00AF57DC" w:rsidP="001C7FB7">
      <w:pPr>
        <w:ind w:left="1440"/>
        <w:rPr>
          <w:b/>
          <w:i/>
          <w:u w:val="single"/>
          <w:lang w:val="es-BO"/>
        </w:rPr>
      </w:pPr>
      <w:r w:rsidRPr="00281428">
        <w:rPr>
          <w:b/>
          <w:bCs/>
          <w:i/>
          <w:u w:val="single"/>
          <w:lang w:val="es-BO"/>
        </w:rPr>
        <w:t>MAV:</w:t>
      </w:r>
      <w:r w:rsidRPr="00281428">
        <w:rPr>
          <w:b/>
          <w:i/>
          <w:u w:val="single"/>
          <w:lang w:val="es-BO"/>
        </w:rPr>
        <w:t xml:space="preserve"> 29 mL (1 fl oz) </w:t>
      </w:r>
    </w:p>
    <w:p w14:paraId="0CE868DB" w14:textId="77777777" w:rsidR="00AF57DC" w:rsidRPr="00281428" w:rsidRDefault="00AF57DC" w:rsidP="001C7FB7">
      <w:pPr>
        <w:ind w:left="1440"/>
        <w:rPr>
          <w:b/>
          <w:bCs/>
          <w:i/>
          <w:u w:val="single"/>
          <w:lang w:val="es-BO"/>
        </w:rPr>
      </w:pPr>
      <w:r w:rsidRPr="00281428">
        <w:rPr>
          <w:b/>
          <w:bCs/>
          <w:i/>
          <w:u w:val="single"/>
          <w:lang w:val="es-BO"/>
        </w:rPr>
        <w:t xml:space="preserve">Convert Density into mL and fl oz: </w:t>
      </w:r>
    </w:p>
    <w:p w14:paraId="4B0B526E" w14:textId="76EF7BC0" w:rsidR="00AF57DC" w:rsidRPr="00281428" w:rsidRDefault="00AF57DC" w:rsidP="001C7FB7">
      <w:pPr>
        <w:ind w:left="1440"/>
        <w:rPr>
          <w:b/>
          <w:i/>
          <w:u w:val="single"/>
          <w:lang w:val="es-BO"/>
        </w:rPr>
      </w:pPr>
      <w:r w:rsidRPr="00281428">
        <w:rPr>
          <w:b/>
          <w:i/>
          <w:u w:val="single"/>
          <w:lang w:val="es-BO"/>
        </w:rPr>
        <w:t>943 g ÷ 1000 mL= 0.943 g/mL</w:t>
      </w:r>
      <w:r w:rsidRPr="00281428">
        <w:rPr>
          <w:bCs/>
          <w:iCs/>
          <w:lang w:val="es-BO"/>
        </w:rPr>
        <w:tab/>
      </w:r>
      <w:r w:rsidRPr="00281428">
        <w:rPr>
          <w:b/>
          <w:i/>
          <w:u w:val="single"/>
          <w:lang w:val="es-BO"/>
        </w:rPr>
        <w:t>(2.07 8 lb ÷ 33.8 fl oz = 0.061 4 lb/fl oz)</w:t>
      </w:r>
    </w:p>
    <w:p w14:paraId="0C661AA2" w14:textId="77777777" w:rsidR="00AF57DC" w:rsidRPr="00281428" w:rsidRDefault="00AF57DC" w:rsidP="001C7FB7">
      <w:pPr>
        <w:ind w:left="1440"/>
        <w:rPr>
          <w:b/>
          <w:bCs/>
          <w:i/>
          <w:u w:val="single"/>
          <w:lang w:val="es-BO"/>
        </w:rPr>
      </w:pPr>
      <w:r w:rsidRPr="00281428">
        <w:rPr>
          <w:b/>
          <w:bCs/>
          <w:i/>
          <w:u w:val="single"/>
          <w:lang w:val="es-BO"/>
        </w:rPr>
        <w:t>Convert MAV from Volume (mL/fl oz) to Weight:</w:t>
      </w:r>
    </w:p>
    <w:p w14:paraId="44187611" w14:textId="5C6B5FF9" w:rsidR="00AF57DC" w:rsidRPr="00281428" w:rsidRDefault="00AF57DC" w:rsidP="001C7FB7">
      <w:pPr>
        <w:ind w:left="1440"/>
        <w:rPr>
          <w:b/>
          <w:i/>
          <w:u w:val="single"/>
          <w:lang w:val="es-BO"/>
        </w:rPr>
      </w:pPr>
      <w:r w:rsidRPr="00281428">
        <w:rPr>
          <w:b/>
          <w:i/>
          <w:u w:val="single"/>
          <w:lang w:val="es-BO"/>
        </w:rPr>
        <w:t xml:space="preserve"> 29 mL × 0.943 g/mL = 27.347 g </w:t>
      </w:r>
      <w:r w:rsidRPr="00281428">
        <w:rPr>
          <w:bCs/>
          <w:iCs/>
          <w:lang w:val="es-BO"/>
        </w:rPr>
        <w:tab/>
      </w:r>
      <w:r w:rsidRPr="00281428">
        <w:rPr>
          <w:b/>
          <w:i/>
          <w:u w:val="single"/>
          <w:lang w:val="es-BO"/>
        </w:rPr>
        <w:t>1 fl oz × 0.061 4 lb/fl oz = 0.064 lb)</w:t>
      </w:r>
    </w:p>
    <w:p w14:paraId="7976535F" w14:textId="77777777" w:rsidR="00AF57DC" w:rsidRPr="00281428" w:rsidRDefault="00AF57DC" w:rsidP="001C7FB7">
      <w:pPr>
        <w:ind w:left="1440"/>
        <w:rPr>
          <w:b/>
          <w:i/>
          <w:u w:val="single"/>
          <w:lang w:val="es-BO"/>
        </w:rPr>
      </w:pPr>
      <w:r w:rsidRPr="00281428">
        <w:rPr>
          <w:b/>
          <w:i/>
          <w:u w:val="single"/>
          <w:lang w:val="es-BO"/>
        </w:rPr>
        <w:t>MAV in Weight/6</w:t>
      </w:r>
    </w:p>
    <w:p w14:paraId="4B69649D" w14:textId="77777777" w:rsidR="00AF57DC" w:rsidRPr="00281428" w:rsidRDefault="00AF57DC" w:rsidP="001C7FB7">
      <w:pPr>
        <w:ind w:left="1440"/>
        <w:rPr>
          <w:b/>
          <w:i/>
          <w:u w:val="single"/>
          <w:lang w:val="es-BO"/>
        </w:rPr>
      </w:pPr>
      <w:r w:rsidRPr="00281428">
        <w:rPr>
          <w:b/>
          <w:i/>
          <w:u w:val="single"/>
          <w:lang w:val="es-BO"/>
        </w:rPr>
        <w:t xml:space="preserve">27.347 g ÷ 6 = 4.557 g </w:t>
      </w:r>
      <w:r w:rsidRPr="00281428">
        <w:rPr>
          <w:bCs/>
          <w:i/>
          <w:lang w:val="es-BO"/>
        </w:rPr>
        <w:tab/>
      </w:r>
      <w:r w:rsidRPr="00281428">
        <w:rPr>
          <w:b/>
          <w:i/>
          <w:u w:val="single"/>
          <w:lang w:val="es-BO"/>
        </w:rPr>
        <w:t xml:space="preserve">0.064 ÷ 6 = 0.010 lb </w:t>
      </w:r>
    </w:p>
    <w:p w14:paraId="2545B3AD" w14:textId="77777777" w:rsidR="00AF57DC" w:rsidRPr="00281428" w:rsidRDefault="00AF57DC" w:rsidP="001C7FB7">
      <w:pPr>
        <w:ind w:left="1530"/>
        <w:rPr>
          <w:b/>
          <w:i/>
          <w:u w:val="single"/>
        </w:rPr>
      </w:pPr>
      <w:r w:rsidRPr="00281428">
        <w:rPr>
          <w:b/>
          <w:i/>
          <w:u w:val="single"/>
        </w:rPr>
        <w:t>In this example, the 1 g (0.002 lb) scale division is smaller than the MAV/6 value of 4.557 g (0.010 lb</w:t>
      </w:r>
      <w:proofErr w:type="gramStart"/>
      <w:r w:rsidRPr="00281428">
        <w:rPr>
          <w:b/>
          <w:i/>
          <w:u w:val="single"/>
        </w:rPr>
        <w:t>)</w:t>
      </w:r>
      <w:proofErr w:type="gramEnd"/>
      <w:r w:rsidRPr="00281428">
        <w:rPr>
          <w:b/>
          <w:i/>
          <w:u w:val="single"/>
        </w:rPr>
        <w:t xml:space="preserve"> so the scale is suitable for making a density determination.</w:t>
      </w:r>
    </w:p>
    <w:p w14:paraId="03202727" w14:textId="4844D76F" w:rsidR="00AF57DC" w:rsidRPr="00281428" w:rsidRDefault="00F837E2" w:rsidP="00AF57DC">
      <w:pPr>
        <w:pStyle w:val="BlockText"/>
        <w:framePr w:wrap="auto"/>
        <w:tabs>
          <w:tab w:val="left" w:pos="9000"/>
        </w:tabs>
        <w:spacing w:after="240"/>
        <w:ind w:left="1080" w:right="0"/>
        <w:rPr>
          <w:b/>
          <w:i/>
          <w:u w:val="single"/>
          <w:lang w:val="es-BO"/>
        </w:rPr>
      </w:pPr>
      <w:r w:rsidRPr="00281428">
        <w:rPr>
          <w:b/>
          <w:i/>
          <w:sz w:val="22"/>
          <w:szCs w:val="22"/>
          <w:u w:val="single"/>
        </w:rPr>
        <w:t>lb) i</w:t>
      </w:r>
    </w:p>
    <w:p w14:paraId="44C400F2" w14:textId="77777777" w:rsidR="00F837E2" w:rsidRPr="00281428" w:rsidRDefault="00F837E2" w:rsidP="00DA1FCD">
      <w:pPr>
        <w:pStyle w:val="ListParagraph"/>
        <w:numPr>
          <w:ilvl w:val="0"/>
          <w:numId w:val="34"/>
        </w:numPr>
        <w:ind w:left="1080"/>
        <w:rPr>
          <w:b/>
          <w:u w:val="single"/>
        </w:rPr>
      </w:pPr>
      <w:r w:rsidRPr="00281428">
        <w:rPr>
          <w:b/>
          <w:u w:val="single"/>
        </w:rPr>
        <w:t>Air pump, low pressure– an aquarium air pump (to dry out measuring cell)</w:t>
      </w:r>
    </w:p>
    <w:p w14:paraId="2E651D9B" w14:textId="77777777" w:rsidR="00F837E2" w:rsidRPr="00281428" w:rsidRDefault="00F837E2" w:rsidP="00DA1FCD">
      <w:pPr>
        <w:pStyle w:val="ListParagraph"/>
        <w:numPr>
          <w:ilvl w:val="0"/>
          <w:numId w:val="34"/>
        </w:numPr>
        <w:ind w:left="1080"/>
        <w:rPr>
          <w:b/>
          <w:u w:val="single"/>
        </w:rPr>
      </w:pPr>
      <w:r w:rsidRPr="00281428">
        <w:rPr>
          <w:b/>
          <w:u w:val="single"/>
        </w:rPr>
        <w:t xml:space="preserve">Syringe, </w:t>
      </w:r>
      <w:proofErr w:type="gramStart"/>
      <w:r w:rsidRPr="00281428">
        <w:rPr>
          <w:b/>
          <w:u w:val="single"/>
        </w:rPr>
        <w:t>glass</w:t>
      </w:r>
      <w:proofErr w:type="gramEnd"/>
      <w:r w:rsidRPr="00281428">
        <w:rPr>
          <w:b/>
          <w:u w:val="single"/>
        </w:rPr>
        <w:t xml:space="preserve"> or plastic with Luer fitting (5mL or larger) - Note: Plastic syringe should be free of any lubricating substances</w:t>
      </w:r>
    </w:p>
    <w:p w14:paraId="782D870A" w14:textId="77777777" w:rsidR="00F837E2" w:rsidRPr="00281428" w:rsidRDefault="00F837E2" w:rsidP="00DA1FCD">
      <w:pPr>
        <w:pStyle w:val="ListParagraph"/>
        <w:numPr>
          <w:ilvl w:val="0"/>
          <w:numId w:val="34"/>
        </w:numPr>
        <w:ind w:left="1080"/>
        <w:rPr>
          <w:b/>
          <w:u w:val="single"/>
        </w:rPr>
      </w:pPr>
      <w:r w:rsidRPr="00281428">
        <w:rPr>
          <w:b/>
          <w:u w:val="single"/>
        </w:rPr>
        <w:t>Stopwatch (optional)</w:t>
      </w:r>
    </w:p>
    <w:p w14:paraId="05A292A2" w14:textId="77777777" w:rsidR="00F837E2" w:rsidRPr="00281428" w:rsidRDefault="00F837E2" w:rsidP="00DA1FCD">
      <w:pPr>
        <w:pStyle w:val="ListParagraph"/>
        <w:numPr>
          <w:ilvl w:val="0"/>
          <w:numId w:val="34"/>
        </w:numPr>
        <w:ind w:left="1080"/>
        <w:rPr>
          <w:b/>
          <w:u w:val="single"/>
        </w:rPr>
      </w:pPr>
      <w:r w:rsidRPr="00281428">
        <w:rPr>
          <w:b/>
          <w:u w:val="single"/>
        </w:rPr>
        <w:t xml:space="preserve">Distilled or deionized water </w:t>
      </w:r>
    </w:p>
    <w:p w14:paraId="48DFF80A" w14:textId="77777777" w:rsidR="00F837E2" w:rsidRPr="00281428" w:rsidRDefault="00F837E2" w:rsidP="00DA1FCD">
      <w:pPr>
        <w:pStyle w:val="ListParagraph"/>
        <w:numPr>
          <w:ilvl w:val="0"/>
          <w:numId w:val="34"/>
        </w:numPr>
        <w:ind w:left="1080"/>
        <w:jc w:val="left"/>
        <w:rPr>
          <w:b/>
          <w:u w:val="single"/>
        </w:rPr>
      </w:pPr>
      <w:r w:rsidRPr="00281428">
        <w:rPr>
          <w:b/>
          <w:u w:val="single"/>
        </w:rPr>
        <w:t>Cleaning agents (See Table 3.X. Cleaning Agents)</w:t>
      </w:r>
    </w:p>
    <w:p w14:paraId="533B7165" w14:textId="77777777" w:rsidR="00F837E2" w:rsidRPr="00281428" w:rsidRDefault="00F837E2" w:rsidP="00DA1FCD">
      <w:pPr>
        <w:pStyle w:val="ListParagraph"/>
        <w:numPr>
          <w:ilvl w:val="0"/>
          <w:numId w:val="34"/>
        </w:numPr>
        <w:ind w:left="1080"/>
        <w:jc w:val="left"/>
        <w:rPr>
          <w:b/>
          <w:u w:val="single"/>
        </w:rPr>
      </w:pPr>
      <w:r w:rsidRPr="00281428">
        <w:rPr>
          <w:b/>
          <w:u w:val="single"/>
        </w:rPr>
        <w:t>Waste container</w:t>
      </w:r>
    </w:p>
    <w:p w14:paraId="2A7A20C3" w14:textId="77777777" w:rsidR="00F837E2" w:rsidRPr="00281428" w:rsidRDefault="00F837E2" w:rsidP="00DA1FCD">
      <w:pPr>
        <w:pStyle w:val="ListParagraph"/>
        <w:numPr>
          <w:ilvl w:val="0"/>
          <w:numId w:val="34"/>
        </w:numPr>
        <w:ind w:left="1080"/>
        <w:rPr>
          <w:b/>
          <w:u w:val="single"/>
        </w:rPr>
      </w:pPr>
      <w:r w:rsidRPr="00281428">
        <w:rPr>
          <w:b/>
          <w:u w:val="single"/>
        </w:rPr>
        <w:lastRenderedPageBreak/>
        <w:t xml:space="preserve">Barometer, or other device for obtaining the prevailing barometric pressure, with an accuracy of ±3.0 mmHg – Note: smart phones with a barometer application that uses the phone’s pressure sensor, have a typical accuracy of ±0.2 mmHg </w:t>
      </w:r>
      <w:r w:rsidRPr="00281428">
        <w:rPr>
          <w:b/>
          <w:i/>
          <w:u w:val="single"/>
        </w:rPr>
        <w:t>(comment: barometer may not be necessary)</w:t>
      </w:r>
    </w:p>
    <w:p w14:paraId="2A478FFD" w14:textId="77777777" w:rsidR="00F837E2" w:rsidRPr="00281428" w:rsidRDefault="00F837E2" w:rsidP="00DA1FCD">
      <w:pPr>
        <w:pStyle w:val="ListParagraph"/>
        <w:numPr>
          <w:ilvl w:val="0"/>
          <w:numId w:val="34"/>
        </w:numPr>
        <w:ind w:left="1080"/>
        <w:rPr>
          <w:b/>
          <w:u w:val="single"/>
        </w:rPr>
      </w:pPr>
      <w:r w:rsidRPr="00281428">
        <w:rPr>
          <w:b/>
          <w:u w:val="single"/>
        </w:rPr>
        <w:t>Thermometer for measuring air temperature with a tolerance of ±1°C (2°F)</w:t>
      </w:r>
    </w:p>
    <w:p w14:paraId="166BAAC3" w14:textId="77777777" w:rsidR="00F837E2" w:rsidRPr="00281428" w:rsidRDefault="00F837E2" w:rsidP="00DA1FCD">
      <w:pPr>
        <w:pStyle w:val="ListParagraph"/>
        <w:numPr>
          <w:ilvl w:val="0"/>
          <w:numId w:val="34"/>
        </w:numPr>
        <w:ind w:left="1080"/>
        <w:rPr>
          <w:b/>
          <w:u w:val="single"/>
        </w:rPr>
      </w:pPr>
      <w:r w:rsidRPr="00281428">
        <w:rPr>
          <w:b/>
          <w:u w:val="single"/>
        </w:rPr>
        <w:t xml:space="preserve">Portable digital density meter meeting a minimum requirement of:  </w:t>
      </w:r>
    </w:p>
    <w:tbl>
      <w:tblPr>
        <w:tblStyle w:val="TableGrid"/>
        <w:tblW w:w="0" w:type="auto"/>
        <w:tblInd w:w="1075" w:type="dxa"/>
        <w:tblLook w:val="04A0" w:firstRow="1" w:lastRow="0" w:firstColumn="1" w:lastColumn="0" w:noHBand="0" w:noVBand="1"/>
        <w:tblCaption w:val="Accuracy"/>
      </w:tblPr>
      <w:tblGrid>
        <w:gridCol w:w="2610"/>
        <w:gridCol w:w="2250"/>
      </w:tblGrid>
      <w:tr w:rsidR="00F837E2" w:rsidRPr="00281428" w14:paraId="23909B1F" w14:textId="77777777" w:rsidTr="001C7FB7">
        <w:trPr>
          <w:trHeight w:val="288"/>
        </w:trPr>
        <w:tc>
          <w:tcPr>
            <w:tcW w:w="4860" w:type="dxa"/>
            <w:gridSpan w:val="2"/>
            <w:vAlign w:val="center"/>
          </w:tcPr>
          <w:p w14:paraId="3B82CA1D" w14:textId="77777777" w:rsidR="00F837E2" w:rsidRPr="00281428" w:rsidRDefault="00F837E2" w:rsidP="00035CE8">
            <w:pPr>
              <w:keepNext/>
              <w:spacing w:before="60" w:after="60"/>
              <w:jc w:val="left"/>
              <w:rPr>
                <w:b/>
                <w:u w:val="single"/>
              </w:rPr>
            </w:pPr>
            <w:r w:rsidRPr="00281428">
              <w:rPr>
                <w:b/>
                <w:u w:val="single"/>
              </w:rPr>
              <w:t>Measuring Range</w:t>
            </w:r>
          </w:p>
        </w:tc>
      </w:tr>
      <w:tr w:rsidR="00F837E2" w:rsidRPr="00281428" w14:paraId="6FDF53CC" w14:textId="77777777" w:rsidTr="001C7FB7">
        <w:trPr>
          <w:trHeight w:val="288"/>
        </w:trPr>
        <w:tc>
          <w:tcPr>
            <w:tcW w:w="2610" w:type="dxa"/>
            <w:vAlign w:val="center"/>
          </w:tcPr>
          <w:p w14:paraId="7D9BACE7" w14:textId="392BEFA4" w:rsidR="00F837E2" w:rsidRPr="00281428" w:rsidRDefault="00F837E2" w:rsidP="00CB53F6">
            <w:pPr>
              <w:spacing w:before="60" w:after="60"/>
              <w:jc w:val="left"/>
              <w:rPr>
                <w:b/>
                <w:u w:val="single"/>
              </w:rPr>
            </w:pPr>
            <w:bookmarkStart w:id="302" w:name="_Hlk18391873"/>
            <w:r w:rsidRPr="00281428">
              <w:rPr>
                <w:b/>
                <w:u w:val="single"/>
              </w:rPr>
              <w:t>Density</w:t>
            </w:r>
          </w:p>
        </w:tc>
        <w:tc>
          <w:tcPr>
            <w:tcW w:w="2250" w:type="dxa"/>
            <w:vAlign w:val="center"/>
          </w:tcPr>
          <w:p w14:paraId="58452668" w14:textId="77777777" w:rsidR="00F837E2" w:rsidRPr="00281428" w:rsidRDefault="00F837E2" w:rsidP="00CB53F6">
            <w:pPr>
              <w:spacing w:before="60" w:after="60"/>
              <w:jc w:val="left"/>
              <w:rPr>
                <w:b/>
                <w:u w:val="single"/>
              </w:rPr>
            </w:pPr>
            <w:r w:rsidRPr="00281428">
              <w:rPr>
                <w:b/>
                <w:u w:val="single"/>
              </w:rPr>
              <w:t>0 – 3 g/cm</w:t>
            </w:r>
            <w:r w:rsidRPr="00281428">
              <w:rPr>
                <w:b/>
                <w:u w:val="single"/>
                <w:vertAlign w:val="superscript"/>
              </w:rPr>
              <w:t>3</w:t>
            </w:r>
          </w:p>
        </w:tc>
      </w:tr>
      <w:tr w:rsidR="00F837E2" w:rsidRPr="00281428" w14:paraId="7BFD2376" w14:textId="77777777" w:rsidTr="001C7FB7">
        <w:trPr>
          <w:trHeight w:val="288"/>
        </w:trPr>
        <w:tc>
          <w:tcPr>
            <w:tcW w:w="2610" w:type="dxa"/>
            <w:vAlign w:val="center"/>
          </w:tcPr>
          <w:p w14:paraId="659EA827" w14:textId="77777777" w:rsidR="00F837E2" w:rsidRPr="00281428" w:rsidRDefault="00F837E2" w:rsidP="00CB53F6">
            <w:pPr>
              <w:spacing w:before="60" w:after="60"/>
              <w:jc w:val="left"/>
              <w:rPr>
                <w:b/>
                <w:u w:val="single"/>
              </w:rPr>
            </w:pPr>
            <w:r w:rsidRPr="00281428">
              <w:rPr>
                <w:b/>
                <w:u w:val="single"/>
              </w:rPr>
              <w:t>Temperature</w:t>
            </w:r>
          </w:p>
        </w:tc>
        <w:tc>
          <w:tcPr>
            <w:tcW w:w="2250" w:type="dxa"/>
            <w:vAlign w:val="center"/>
          </w:tcPr>
          <w:p w14:paraId="12A5C181" w14:textId="77777777" w:rsidR="00F837E2" w:rsidRPr="00281428" w:rsidRDefault="00F837E2" w:rsidP="00CB53F6">
            <w:pPr>
              <w:spacing w:before="60" w:after="60"/>
              <w:jc w:val="left"/>
              <w:rPr>
                <w:b/>
                <w:u w:val="single"/>
              </w:rPr>
            </w:pPr>
            <w:r w:rsidRPr="00281428">
              <w:rPr>
                <w:b/>
                <w:u w:val="single"/>
              </w:rPr>
              <w:t>0 – 4 °C (32 – 104 °F)</w:t>
            </w:r>
            <w:r w:rsidRPr="00281428">
              <w:rPr>
                <w:b/>
                <w:u w:val="single"/>
                <w:vertAlign w:val="superscript"/>
              </w:rPr>
              <w:t>a</w:t>
            </w:r>
          </w:p>
        </w:tc>
      </w:tr>
      <w:bookmarkEnd w:id="302"/>
      <w:tr w:rsidR="00F837E2" w:rsidRPr="00281428" w14:paraId="0F8EF91B" w14:textId="77777777" w:rsidTr="001C7FB7">
        <w:trPr>
          <w:trHeight w:val="288"/>
        </w:trPr>
        <w:tc>
          <w:tcPr>
            <w:tcW w:w="2610" w:type="dxa"/>
            <w:vAlign w:val="center"/>
          </w:tcPr>
          <w:p w14:paraId="39466F83" w14:textId="77777777" w:rsidR="00F837E2" w:rsidRPr="00281428" w:rsidRDefault="00F837E2" w:rsidP="00CB53F6">
            <w:pPr>
              <w:spacing w:before="60" w:after="60"/>
              <w:jc w:val="left"/>
              <w:rPr>
                <w:b/>
                <w:u w:val="single"/>
              </w:rPr>
            </w:pPr>
            <w:r w:rsidRPr="00281428">
              <w:rPr>
                <w:b/>
                <w:u w:val="single"/>
              </w:rPr>
              <w:t>Viscosity</w:t>
            </w:r>
          </w:p>
        </w:tc>
        <w:tc>
          <w:tcPr>
            <w:tcW w:w="2250" w:type="dxa"/>
            <w:shd w:val="clear" w:color="auto" w:fill="D9D9D9" w:themeFill="background1" w:themeFillShade="D9"/>
            <w:vAlign w:val="center"/>
          </w:tcPr>
          <w:p w14:paraId="5E30C1FD" w14:textId="77777777" w:rsidR="00F837E2" w:rsidRPr="00281428" w:rsidRDefault="00F837E2" w:rsidP="00CB53F6">
            <w:pPr>
              <w:spacing w:before="60" w:after="60"/>
              <w:jc w:val="left"/>
              <w:rPr>
                <w:b/>
                <w:u w:val="single"/>
              </w:rPr>
            </w:pPr>
          </w:p>
        </w:tc>
      </w:tr>
      <w:tr w:rsidR="00F837E2" w:rsidRPr="00281428" w14:paraId="77953216" w14:textId="77777777" w:rsidTr="001C7FB7">
        <w:trPr>
          <w:trHeight w:val="288"/>
        </w:trPr>
        <w:tc>
          <w:tcPr>
            <w:tcW w:w="4860" w:type="dxa"/>
            <w:gridSpan w:val="2"/>
            <w:vAlign w:val="center"/>
          </w:tcPr>
          <w:p w14:paraId="7AF72D63" w14:textId="77777777" w:rsidR="00F837E2" w:rsidRPr="00281428" w:rsidRDefault="00F837E2" w:rsidP="00CB53F6">
            <w:pPr>
              <w:spacing w:before="60" w:after="60"/>
              <w:jc w:val="left"/>
              <w:rPr>
                <w:b/>
                <w:u w:val="single"/>
              </w:rPr>
            </w:pPr>
            <w:r w:rsidRPr="00281428">
              <w:rPr>
                <w:b/>
                <w:u w:val="single"/>
              </w:rPr>
              <w:t>Accuracy</w:t>
            </w:r>
            <w:r w:rsidRPr="00281428">
              <w:rPr>
                <w:b/>
                <w:u w:val="single"/>
                <w:vertAlign w:val="superscript"/>
              </w:rPr>
              <w:t>b</w:t>
            </w:r>
          </w:p>
        </w:tc>
      </w:tr>
      <w:tr w:rsidR="00F837E2" w:rsidRPr="00281428" w14:paraId="7A91AAFF" w14:textId="77777777" w:rsidTr="001C7FB7">
        <w:trPr>
          <w:trHeight w:val="288"/>
        </w:trPr>
        <w:tc>
          <w:tcPr>
            <w:tcW w:w="2610" w:type="dxa"/>
            <w:vAlign w:val="center"/>
          </w:tcPr>
          <w:p w14:paraId="31AF7166" w14:textId="77777777" w:rsidR="00F837E2" w:rsidRPr="00281428" w:rsidRDefault="00F837E2" w:rsidP="00CB53F6">
            <w:pPr>
              <w:spacing w:before="60" w:after="60"/>
              <w:jc w:val="left"/>
              <w:rPr>
                <w:b/>
                <w:u w:val="single"/>
              </w:rPr>
            </w:pPr>
            <w:r w:rsidRPr="00281428">
              <w:rPr>
                <w:b/>
                <w:u w:val="single"/>
              </w:rPr>
              <w:t>Density</w:t>
            </w:r>
          </w:p>
        </w:tc>
        <w:tc>
          <w:tcPr>
            <w:tcW w:w="2250" w:type="dxa"/>
            <w:vAlign w:val="center"/>
          </w:tcPr>
          <w:p w14:paraId="329E3630" w14:textId="77777777" w:rsidR="00F837E2" w:rsidRPr="00281428" w:rsidRDefault="00F837E2" w:rsidP="00CB53F6">
            <w:pPr>
              <w:spacing w:before="60" w:after="60"/>
              <w:jc w:val="left"/>
              <w:rPr>
                <w:b/>
                <w:u w:val="single"/>
              </w:rPr>
            </w:pPr>
            <w:r w:rsidRPr="00281428">
              <w:rPr>
                <w:b/>
                <w:u w:val="single"/>
              </w:rPr>
              <w:t>0.001 g/cm</w:t>
            </w:r>
            <w:r w:rsidRPr="00281428">
              <w:rPr>
                <w:b/>
                <w:u w:val="single"/>
                <w:vertAlign w:val="superscript"/>
              </w:rPr>
              <w:t>3</w:t>
            </w:r>
          </w:p>
        </w:tc>
      </w:tr>
      <w:tr w:rsidR="00F837E2" w:rsidRPr="00281428" w14:paraId="2CA81686" w14:textId="77777777" w:rsidTr="001C7FB7">
        <w:trPr>
          <w:trHeight w:val="288"/>
        </w:trPr>
        <w:tc>
          <w:tcPr>
            <w:tcW w:w="2610" w:type="dxa"/>
            <w:vAlign w:val="center"/>
          </w:tcPr>
          <w:p w14:paraId="4159F77E" w14:textId="77777777" w:rsidR="00F837E2" w:rsidRPr="00281428" w:rsidRDefault="00F837E2" w:rsidP="00CB53F6">
            <w:pPr>
              <w:spacing w:before="60" w:after="60"/>
              <w:jc w:val="left"/>
              <w:rPr>
                <w:b/>
                <w:u w:val="single"/>
              </w:rPr>
            </w:pPr>
            <w:r w:rsidRPr="00281428">
              <w:rPr>
                <w:b/>
                <w:u w:val="single"/>
              </w:rPr>
              <w:t>Temperature</w:t>
            </w:r>
          </w:p>
        </w:tc>
        <w:tc>
          <w:tcPr>
            <w:tcW w:w="2250" w:type="dxa"/>
            <w:vAlign w:val="center"/>
          </w:tcPr>
          <w:p w14:paraId="3378642E" w14:textId="77777777" w:rsidR="00F837E2" w:rsidRPr="00281428" w:rsidRDefault="00F837E2" w:rsidP="00CB53F6">
            <w:pPr>
              <w:spacing w:before="60" w:after="60"/>
              <w:jc w:val="left"/>
              <w:rPr>
                <w:b/>
                <w:u w:val="single"/>
              </w:rPr>
            </w:pPr>
            <w:r w:rsidRPr="00281428">
              <w:rPr>
                <w:b/>
                <w:u w:val="single"/>
              </w:rPr>
              <w:t>0.2 °C (0.4 °F)</w:t>
            </w:r>
          </w:p>
        </w:tc>
      </w:tr>
      <w:tr w:rsidR="00F837E2" w:rsidRPr="00281428" w14:paraId="684422C9" w14:textId="77777777" w:rsidTr="001C7FB7">
        <w:trPr>
          <w:trHeight w:val="288"/>
        </w:trPr>
        <w:tc>
          <w:tcPr>
            <w:tcW w:w="4860" w:type="dxa"/>
            <w:gridSpan w:val="2"/>
            <w:vAlign w:val="center"/>
          </w:tcPr>
          <w:p w14:paraId="4774D60A" w14:textId="77777777" w:rsidR="00F837E2" w:rsidRPr="00281428" w:rsidRDefault="00F837E2" w:rsidP="00CB53F6">
            <w:pPr>
              <w:spacing w:before="60" w:after="60"/>
              <w:jc w:val="left"/>
              <w:rPr>
                <w:b/>
                <w:u w:val="single"/>
              </w:rPr>
            </w:pPr>
            <w:r w:rsidRPr="00281428">
              <w:rPr>
                <w:b/>
                <w:u w:val="single"/>
              </w:rPr>
              <w:t>Repeatability s.d.</w:t>
            </w:r>
          </w:p>
        </w:tc>
      </w:tr>
      <w:tr w:rsidR="00F837E2" w:rsidRPr="00281428" w14:paraId="08968796" w14:textId="77777777" w:rsidTr="001C7FB7">
        <w:trPr>
          <w:trHeight w:val="288"/>
        </w:trPr>
        <w:tc>
          <w:tcPr>
            <w:tcW w:w="2610" w:type="dxa"/>
            <w:vAlign w:val="center"/>
          </w:tcPr>
          <w:p w14:paraId="18F75B1A" w14:textId="77777777" w:rsidR="00F837E2" w:rsidRPr="00281428" w:rsidRDefault="00F837E2" w:rsidP="00CB53F6">
            <w:pPr>
              <w:spacing w:before="60" w:after="60"/>
              <w:jc w:val="left"/>
              <w:rPr>
                <w:b/>
                <w:u w:val="single"/>
              </w:rPr>
            </w:pPr>
            <w:r w:rsidRPr="00281428">
              <w:rPr>
                <w:b/>
                <w:u w:val="single"/>
              </w:rPr>
              <w:t>Density</w:t>
            </w:r>
          </w:p>
        </w:tc>
        <w:tc>
          <w:tcPr>
            <w:tcW w:w="2250" w:type="dxa"/>
            <w:vAlign w:val="center"/>
          </w:tcPr>
          <w:p w14:paraId="646EC55E" w14:textId="77777777" w:rsidR="00F837E2" w:rsidRPr="00281428" w:rsidRDefault="00F837E2" w:rsidP="00CB53F6">
            <w:pPr>
              <w:spacing w:before="60" w:after="60"/>
              <w:jc w:val="left"/>
              <w:rPr>
                <w:b/>
                <w:u w:val="single"/>
              </w:rPr>
            </w:pPr>
            <w:r w:rsidRPr="00281428">
              <w:rPr>
                <w:b/>
                <w:u w:val="single"/>
              </w:rPr>
              <w:t>0.0005 g/cm</w:t>
            </w:r>
            <w:r w:rsidRPr="00281428">
              <w:rPr>
                <w:b/>
                <w:u w:val="single"/>
                <w:vertAlign w:val="superscript"/>
              </w:rPr>
              <w:t>3</w:t>
            </w:r>
          </w:p>
        </w:tc>
      </w:tr>
      <w:tr w:rsidR="00F837E2" w:rsidRPr="00281428" w14:paraId="64A5FA62" w14:textId="77777777" w:rsidTr="001C7FB7">
        <w:trPr>
          <w:trHeight w:val="288"/>
        </w:trPr>
        <w:tc>
          <w:tcPr>
            <w:tcW w:w="2610" w:type="dxa"/>
            <w:vAlign w:val="center"/>
          </w:tcPr>
          <w:p w14:paraId="11DC3034" w14:textId="77777777" w:rsidR="00F837E2" w:rsidRPr="00281428" w:rsidRDefault="00F837E2" w:rsidP="00CB53F6">
            <w:pPr>
              <w:spacing w:before="60" w:after="60"/>
              <w:jc w:val="left"/>
              <w:rPr>
                <w:b/>
                <w:u w:val="single"/>
              </w:rPr>
            </w:pPr>
            <w:r w:rsidRPr="00281428">
              <w:rPr>
                <w:b/>
                <w:u w:val="single"/>
              </w:rPr>
              <w:t>Temperature</w:t>
            </w:r>
          </w:p>
        </w:tc>
        <w:tc>
          <w:tcPr>
            <w:tcW w:w="2250" w:type="dxa"/>
            <w:vAlign w:val="center"/>
          </w:tcPr>
          <w:p w14:paraId="473202E6" w14:textId="77777777" w:rsidR="00F837E2" w:rsidRPr="00281428" w:rsidRDefault="00F837E2" w:rsidP="00CB53F6">
            <w:pPr>
              <w:spacing w:before="60" w:after="60"/>
              <w:jc w:val="left"/>
              <w:rPr>
                <w:b/>
                <w:u w:val="single"/>
              </w:rPr>
            </w:pPr>
            <w:r w:rsidRPr="00281428">
              <w:rPr>
                <w:b/>
                <w:u w:val="single"/>
              </w:rPr>
              <w:t>0.1 °C (0.1 °F)</w:t>
            </w:r>
          </w:p>
        </w:tc>
      </w:tr>
      <w:tr w:rsidR="00F837E2" w:rsidRPr="00281428" w14:paraId="39E63E8C" w14:textId="77777777" w:rsidTr="001C7FB7">
        <w:trPr>
          <w:trHeight w:val="288"/>
        </w:trPr>
        <w:tc>
          <w:tcPr>
            <w:tcW w:w="2610" w:type="dxa"/>
            <w:vAlign w:val="center"/>
          </w:tcPr>
          <w:p w14:paraId="4E8370B8" w14:textId="77777777" w:rsidR="00F837E2" w:rsidRPr="00281428" w:rsidRDefault="00F837E2" w:rsidP="00CB53F6">
            <w:pPr>
              <w:spacing w:before="60" w:after="60"/>
              <w:jc w:val="left"/>
              <w:rPr>
                <w:b/>
                <w:u w:val="single"/>
              </w:rPr>
            </w:pPr>
            <w:r w:rsidRPr="00281428">
              <w:rPr>
                <w:b/>
                <w:u w:val="single"/>
              </w:rPr>
              <w:t>Sample Volume</w:t>
            </w:r>
          </w:p>
        </w:tc>
        <w:tc>
          <w:tcPr>
            <w:tcW w:w="2250" w:type="dxa"/>
            <w:vAlign w:val="center"/>
          </w:tcPr>
          <w:p w14:paraId="23882AFF" w14:textId="77777777" w:rsidR="00F837E2" w:rsidRPr="00281428" w:rsidRDefault="00F837E2" w:rsidP="00CB53F6">
            <w:pPr>
              <w:spacing w:before="60" w:after="60"/>
              <w:jc w:val="left"/>
              <w:rPr>
                <w:b/>
                <w:u w:val="single"/>
              </w:rPr>
            </w:pPr>
            <w:r w:rsidRPr="00281428">
              <w:rPr>
                <w:b/>
                <w:u w:val="single"/>
              </w:rPr>
              <w:t>2 mL</w:t>
            </w:r>
          </w:p>
        </w:tc>
      </w:tr>
      <w:tr w:rsidR="00F837E2" w:rsidRPr="00281428" w14:paraId="2D5ED20C" w14:textId="77777777" w:rsidTr="001C7FB7">
        <w:trPr>
          <w:trHeight w:val="288"/>
        </w:trPr>
        <w:tc>
          <w:tcPr>
            <w:tcW w:w="2610" w:type="dxa"/>
            <w:vAlign w:val="center"/>
          </w:tcPr>
          <w:p w14:paraId="50FA4664" w14:textId="77777777" w:rsidR="00F837E2" w:rsidRPr="00281428" w:rsidRDefault="00F837E2" w:rsidP="00CB53F6">
            <w:pPr>
              <w:spacing w:before="60" w:after="60"/>
              <w:jc w:val="left"/>
              <w:rPr>
                <w:b/>
                <w:u w:val="single"/>
              </w:rPr>
            </w:pPr>
            <w:r w:rsidRPr="00281428">
              <w:rPr>
                <w:b/>
                <w:u w:val="single"/>
              </w:rPr>
              <w:t>Sample Temperature</w:t>
            </w:r>
          </w:p>
        </w:tc>
        <w:tc>
          <w:tcPr>
            <w:tcW w:w="2250" w:type="dxa"/>
            <w:vAlign w:val="center"/>
          </w:tcPr>
          <w:p w14:paraId="2C6B59BF" w14:textId="77777777" w:rsidR="00F837E2" w:rsidRPr="00281428" w:rsidRDefault="00F837E2" w:rsidP="00CB53F6">
            <w:pPr>
              <w:spacing w:before="60" w:after="60"/>
              <w:jc w:val="left"/>
              <w:rPr>
                <w:b/>
                <w:u w:val="single"/>
              </w:rPr>
            </w:pPr>
            <w:r w:rsidRPr="00281428">
              <w:rPr>
                <w:b/>
                <w:u w:val="single"/>
              </w:rPr>
              <w:t>max. 200 °C (212 °F)</w:t>
            </w:r>
          </w:p>
        </w:tc>
      </w:tr>
      <w:tr w:rsidR="00F837E2" w:rsidRPr="00281428" w14:paraId="75FEE9F1" w14:textId="77777777" w:rsidTr="001C7FB7">
        <w:trPr>
          <w:trHeight w:val="288"/>
        </w:trPr>
        <w:tc>
          <w:tcPr>
            <w:tcW w:w="4860" w:type="dxa"/>
            <w:gridSpan w:val="2"/>
            <w:vAlign w:val="center"/>
          </w:tcPr>
          <w:p w14:paraId="29ACF226" w14:textId="77777777" w:rsidR="00F837E2" w:rsidRPr="00281428" w:rsidRDefault="00F837E2" w:rsidP="00CB53F6">
            <w:pPr>
              <w:spacing w:before="60" w:after="60"/>
              <w:jc w:val="left"/>
              <w:rPr>
                <w:b/>
                <w:u w:val="single"/>
              </w:rPr>
            </w:pPr>
            <w:r w:rsidRPr="00281428">
              <w:rPr>
                <w:b/>
                <w:u w:val="single"/>
              </w:rPr>
              <w:t>footnotes</w:t>
            </w:r>
          </w:p>
          <w:p w14:paraId="6AD262D6" w14:textId="77777777" w:rsidR="00F837E2" w:rsidRPr="00281428" w:rsidRDefault="00F837E2" w:rsidP="00CB53F6">
            <w:pPr>
              <w:spacing w:before="60" w:after="60"/>
              <w:jc w:val="left"/>
              <w:rPr>
                <w:b/>
                <w:u w:val="single"/>
              </w:rPr>
            </w:pPr>
            <w:r w:rsidRPr="00281428">
              <w:rPr>
                <w:b/>
                <w:u w:val="single"/>
                <w:vertAlign w:val="superscript"/>
              </w:rPr>
              <w:t>a</w:t>
            </w:r>
            <w:r w:rsidRPr="00281428">
              <w:rPr>
                <w:b/>
                <w:u w:val="single"/>
              </w:rPr>
              <w:t xml:space="preserve"> Filling at higher temperatures possible.</w:t>
            </w:r>
          </w:p>
          <w:p w14:paraId="24268D13" w14:textId="77777777" w:rsidR="00F837E2" w:rsidRPr="00281428" w:rsidRDefault="00F837E2" w:rsidP="00CB53F6">
            <w:pPr>
              <w:spacing w:before="60" w:after="60"/>
              <w:jc w:val="left"/>
              <w:rPr>
                <w:b/>
                <w:u w:val="single"/>
              </w:rPr>
            </w:pPr>
            <w:r w:rsidRPr="00281428">
              <w:rPr>
                <w:b/>
                <w:u w:val="single"/>
                <w:vertAlign w:val="superscript"/>
              </w:rPr>
              <w:t>b</w:t>
            </w:r>
            <w:r w:rsidRPr="00281428">
              <w:rPr>
                <w:b/>
                <w:u w:val="single"/>
              </w:rPr>
              <w:t xml:space="preserve"> Viscosity &lt; 100 mPa·s, density &lt; g/cm</w:t>
            </w:r>
            <w:r w:rsidRPr="00281428">
              <w:rPr>
                <w:b/>
                <w:u w:val="single"/>
                <w:vertAlign w:val="superscript"/>
              </w:rPr>
              <w:t>3</w:t>
            </w:r>
          </w:p>
        </w:tc>
      </w:tr>
    </w:tbl>
    <w:p w14:paraId="32CC8130" w14:textId="797A883C" w:rsidR="00F837E2" w:rsidRPr="00281428" w:rsidRDefault="00F837E2" w:rsidP="002F0196">
      <w:pPr>
        <w:spacing w:before="240"/>
        <w:ind w:left="720" w:hanging="360"/>
        <w:rPr>
          <w:b/>
          <w:u w:val="single"/>
        </w:rPr>
      </w:pPr>
      <w:r w:rsidRPr="00281428">
        <w:rPr>
          <w:b/>
          <w:u w:val="single"/>
        </w:rPr>
        <w:t>3.X.2</w:t>
      </w:r>
      <w:r w:rsidR="005F2D7F" w:rsidRPr="00281428">
        <w:rPr>
          <w:bCs/>
        </w:rPr>
        <w:t xml:space="preserve">.  </w:t>
      </w:r>
      <w:r w:rsidRPr="00281428">
        <w:rPr>
          <w:b/>
          <w:u w:val="single"/>
        </w:rPr>
        <w:t xml:space="preserve">Test Procedure </w:t>
      </w:r>
    </w:p>
    <w:tbl>
      <w:tblPr>
        <w:tblW w:w="8838" w:type="dxa"/>
        <w:tblInd w:w="630" w:type="dxa"/>
        <w:tblLayout w:type="fixed"/>
        <w:tblLook w:val="01E0" w:firstRow="1" w:lastRow="1" w:firstColumn="1" w:lastColumn="1" w:noHBand="0" w:noVBand="0"/>
      </w:tblPr>
      <w:tblGrid>
        <w:gridCol w:w="8838"/>
      </w:tblGrid>
      <w:tr w:rsidR="00F837E2" w:rsidRPr="00281428" w14:paraId="05A7D64D" w14:textId="77777777" w:rsidTr="00F837E2">
        <w:tc>
          <w:tcPr>
            <w:tcW w:w="8838" w:type="dxa"/>
          </w:tcPr>
          <w:p w14:paraId="6A84D9E3"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Follow Section 2.3.1. “Define the Inspection Lot.”  Use a “Category A” sampling plan in the inspection.  Select a random sample.</w:t>
            </w:r>
          </w:p>
        </w:tc>
      </w:tr>
      <w:tr w:rsidR="00F837E2" w:rsidRPr="00281428" w14:paraId="0E173E41" w14:textId="77777777" w:rsidTr="00F837E2">
        <w:tc>
          <w:tcPr>
            <w:tcW w:w="8838" w:type="dxa"/>
          </w:tcPr>
          <w:p w14:paraId="12D4EC9E"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 xml:space="preserve">Bring the sample packages and their contents to ambient temperature ±5 °C (9 °F).  </w:t>
            </w:r>
          </w:p>
          <w:p w14:paraId="0D86160F" w14:textId="77777777" w:rsidR="00F837E2" w:rsidRPr="00281428" w:rsidRDefault="00F837E2" w:rsidP="00F837E2">
            <w:pPr>
              <w:tabs>
                <w:tab w:val="left" w:pos="8640"/>
              </w:tabs>
              <w:ind w:left="341"/>
              <w:rPr>
                <w:rFonts w:eastAsia="Times New Roman"/>
                <w:b/>
                <w:color w:val="000000"/>
                <w:u w:val="single"/>
              </w:rPr>
            </w:pPr>
            <w:r w:rsidRPr="00281428">
              <w:rPr>
                <w:rFonts w:eastAsia="Times New Roman"/>
                <w:b/>
                <w:color w:val="000000"/>
                <w:u w:val="single"/>
              </w:rPr>
              <w:t>Note:  For refrigerated samples such as milk and other dairy products, a specimen of the product may be taken and placed into a clean bottle or vial with a closure or a syringe to reach ambient temperature. If the product requires mixing for uniformity, mix it before opening in accordance with any instructions specified on the package label.  Shaking liquids, such as flavored milk, often entraps air that will affect volume measurements, so use caution when testing these products.  Often, less air is entrapped if the package is gently rolled to mix the contents.</w:t>
            </w:r>
          </w:p>
          <w:p w14:paraId="6C08FAD0"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 xml:space="preserve">The instrument must at ambient temperature.  Avoid causing condensation within the unit. Condensation could cause instrument malfunction and harm. </w:t>
            </w:r>
          </w:p>
          <w:p w14:paraId="2F8AF4B3"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Validate the digital density meter per the manufacturer’s calibration instructions. Instrument shall calibrate within allowable density range (±0.0005)</w:t>
            </w:r>
          </w:p>
          <w:p w14:paraId="00DA49AD"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 xml:space="preserve">Ensure the digital density meter is clean prior to testing.  Any residual liquid should be </w:t>
            </w:r>
            <w:proofErr w:type="gramStart"/>
            <w:r w:rsidRPr="00281428">
              <w:rPr>
                <w:rFonts w:eastAsia="Times New Roman"/>
                <w:b/>
                <w:color w:val="000000"/>
                <w:u w:val="single"/>
              </w:rPr>
              <w:t>drained</w:t>
            </w:r>
            <w:proofErr w:type="gramEnd"/>
            <w:r w:rsidRPr="00281428">
              <w:rPr>
                <w:rFonts w:eastAsia="Times New Roman"/>
                <w:b/>
                <w:color w:val="000000"/>
                <w:u w:val="single"/>
              </w:rPr>
              <w:t xml:space="preserve"> and the unit should be flushed with a small amount of the sample to be tested. </w:t>
            </w:r>
          </w:p>
          <w:p w14:paraId="514932BC" w14:textId="36D65536"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lastRenderedPageBreak/>
              <w:t xml:space="preserve">Follow the manufacturer’s instructions to select the correct method, when using a meter with built in correction factors, and measure the density of the sample using the </w:t>
            </w:r>
            <w:r w:rsidR="005649B8" w:rsidRPr="00281428">
              <w:rPr>
                <w:rFonts w:eastAsia="Times New Roman"/>
                <w:b/>
                <w:color w:val="000000"/>
                <w:u w:val="single"/>
              </w:rPr>
              <w:t>built-in</w:t>
            </w:r>
            <w:r w:rsidRPr="00281428">
              <w:rPr>
                <w:rFonts w:eastAsia="Times New Roman"/>
                <w:b/>
                <w:color w:val="000000"/>
                <w:u w:val="single"/>
              </w:rPr>
              <w:t xml:space="preserve"> pump or syringe.  Fill sample gently.  If gas or air bubbles are present drain sample and refill. Note: a syringe may be desirable to allow sample specimen to achieve ambient temperature prior to introduction of specimen into testing cell.</w:t>
            </w:r>
          </w:p>
          <w:p w14:paraId="002C3BAE"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 xml:space="preserve">Once digital density meter has stabilized (maintained reading </w:t>
            </w:r>
            <w:r w:rsidRPr="00281428">
              <w:rPr>
                <w:b/>
                <w:u w:val="single"/>
              </w:rPr>
              <w:t>±0.5°F for 10 seconds) record density and temperature as indicated on instrument.</w:t>
            </w:r>
          </w:p>
          <w:p w14:paraId="3BFA37EF" w14:textId="636AAF69" w:rsidR="00F837E2" w:rsidRPr="00281428" w:rsidRDefault="00F837E2" w:rsidP="00DA1FCD">
            <w:pPr>
              <w:numPr>
                <w:ilvl w:val="0"/>
                <w:numId w:val="36"/>
              </w:numPr>
              <w:tabs>
                <w:tab w:val="left" w:pos="8640"/>
              </w:tabs>
              <w:ind w:left="360"/>
              <w:rPr>
                <w:rFonts w:eastAsia="Times New Roman"/>
                <w:b/>
                <w:color w:val="000000"/>
                <w:u w:val="single"/>
              </w:rPr>
            </w:pPr>
            <w:r w:rsidRPr="00281428">
              <w:rPr>
                <w:b/>
                <w:u w:val="single"/>
              </w:rPr>
              <w:t xml:space="preserve">Apply coefficient of expansion (Alpha) to correct to the reference temperature. </w:t>
            </w:r>
            <w:r w:rsidR="00CF4099" w:rsidRPr="00281428">
              <w:rPr>
                <w:b/>
                <w:u w:val="single"/>
              </w:rPr>
              <w:t xml:space="preserve"> </w:t>
            </w:r>
            <w:r w:rsidRPr="00281428">
              <w:rPr>
                <w:b/>
                <w:u w:val="single"/>
              </w:rPr>
              <w:t xml:space="preserve">See Table 3-X.  Reference Temperatures of Liquids.  If the Alpha correction is not </w:t>
            </w:r>
            <w:r w:rsidR="005649B8" w:rsidRPr="00281428">
              <w:rPr>
                <w:b/>
                <w:u w:val="single"/>
              </w:rPr>
              <w:t>known,</w:t>
            </w:r>
            <w:r w:rsidRPr="00281428">
              <w:rPr>
                <w:b/>
                <w:u w:val="single"/>
              </w:rPr>
              <w:t xml:space="preserve"> then factor can be calculated using the below formula.  Note: some digital density meters may be programmed to automatically apply this correction.</w:t>
            </w:r>
          </w:p>
          <w:p w14:paraId="0940AEBC" w14:textId="77777777" w:rsidR="00F837E2" w:rsidRPr="00281428" w:rsidRDefault="00F837E2" w:rsidP="001C7FB7">
            <w:pPr>
              <w:pStyle w:val="ListParagraph"/>
              <w:ind w:left="700"/>
              <w:rPr>
                <w:b/>
                <w:u w:val="single"/>
              </w:rPr>
            </w:pPr>
            <w:r w:rsidRPr="00281428">
              <w:rPr>
                <w:b/>
                <w:u w:val="single"/>
              </w:rPr>
              <w:t>Calculating the Temperature Coefficient Alpha</w:t>
            </w:r>
          </w:p>
          <w:p w14:paraId="117C1B2C" w14:textId="2B6535CE" w:rsidR="00F837E2" w:rsidRPr="00281428" w:rsidRDefault="00F837E2" w:rsidP="001C7FB7">
            <w:pPr>
              <w:pStyle w:val="ListParagraph"/>
              <w:ind w:left="700"/>
              <w:rPr>
                <w:rFonts w:eastAsiaTheme="minorEastAsia"/>
                <w:b/>
                <w:u w:val="single"/>
              </w:rPr>
            </w:pPr>
            <w:r w:rsidRPr="00281428">
              <w:rPr>
                <w:b/>
                <w:u w:val="single"/>
              </w:rPr>
              <w:t xml:space="preserve">Temperature coefficient Alpha </w:t>
            </w:r>
            <w:r w:rsidRPr="00281428">
              <w:rPr>
                <w:b/>
              </w:rPr>
              <w:t xml:space="preserve">= </w:t>
            </w:r>
            <m:oMath>
              <m:d>
                <m:dPr>
                  <m:begChr m:val="|"/>
                  <m:endChr m:val="|"/>
                  <m:ctrlPr>
                    <w:rPr>
                      <w:rFonts w:ascii="Cambria Math" w:hAnsi="Cambria Math"/>
                      <w:b/>
                      <w:i/>
                    </w:rPr>
                  </m:ctrlPr>
                </m:dPr>
                <m:e>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ρ</m:t>
                          </m:r>
                        </m:e>
                        <m:sup>
                          <m:r>
                            <m:rPr>
                              <m:sty m:val="bi"/>
                            </m:rPr>
                            <w:rPr>
                              <w:rFonts w:ascii="Cambria Math" w:hAnsi="Cambria Math"/>
                            </w:rPr>
                            <m:t>1</m:t>
                          </m:r>
                        </m:sup>
                      </m:sSup>
                      <m:r>
                        <m:rPr>
                          <m:sty m:val="bi"/>
                        </m:rPr>
                        <w:rPr>
                          <w:rFonts w:ascii="Cambria Math" w:hAnsi="Cambria Math"/>
                        </w:rPr>
                        <m:t>-ρ₂</m:t>
                      </m:r>
                    </m:num>
                    <m:den>
                      <m:sSup>
                        <m:sSupPr>
                          <m:ctrlPr>
                            <w:rPr>
                              <w:rFonts w:ascii="Cambria Math" w:hAnsi="Cambria Math"/>
                              <w:b/>
                            </w:rPr>
                          </m:ctrlPr>
                        </m:sSupPr>
                        <m:e>
                          <m:r>
                            <m:rPr>
                              <m:sty m:val="b"/>
                            </m:rPr>
                            <w:rPr>
                              <w:rFonts w:ascii="Cambria Math" w:hAnsi="Cambria Math"/>
                            </w:rPr>
                            <m:t>T</m:t>
                          </m:r>
                        </m:e>
                        <m:sup>
                          <m:r>
                            <m:rPr>
                              <m:sty m:val="b"/>
                            </m:rPr>
                            <w:rPr>
                              <w:rFonts w:ascii="Cambria Math" w:hAnsi="Cambria Math"/>
                            </w:rPr>
                            <m:t>1</m:t>
                          </m:r>
                        </m:sup>
                      </m:sSup>
                      <m:r>
                        <m:rPr>
                          <m:sty m:val="b"/>
                        </m:rPr>
                        <w:rPr>
                          <w:rFonts w:ascii="Cambria Math" w:hAnsi="Cambria Math"/>
                        </w:rPr>
                        <m:t>-T₂</m:t>
                      </m:r>
                    </m:den>
                  </m:f>
                </m:e>
              </m:d>
            </m:oMath>
          </w:p>
          <w:p w14:paraId="612B154A" w14:textId="1BF7D0C5" w:rsidR="00F837E2" w:rsidRPr="00281428" w:rsidRDefault="00F837E2" w:rsidP="001C7FB7">
            <w:pPr>
              <w:pStyle w:val="ListParagraph"/>
              <w:ind w:left="700"/>
              <w:rPr>
                <w:rFonts w:eastAsiaTheme="minorEastAsia"/>
                <w:b/>
                <w:u w:val="single"/>
              </w:rPr>
            </w:pPr>
            <w:r w:rsidRPr="00281428">
              <w:rPr>
                <w:rFonts w:eastAsiaTheme="minorEastAsia"/>
                <w:b/>
                <w:u w:val="single"/>
              </w:rPr>
              <w:t xml:space="preserve">ρ₁ </w:t>
            </w:r>
            <w:r w:rsidR="005649B8" w:rsidRPr="00281428">
              <w:rPr>
                <w:rFonts w:eastAsiaTheme="minorEastAsia"/>
                <w:b/>
                <w:u w:val="single"/>
              </w:rPr>
              <w:t>….</w:t>
            </w:r>
            <w:r w:rsidR="005649B8" w:rsidRPr="00281428">
              <w:rPr>
                <w:rFonts w:eastAsiaTheme="minorEastAsia"/>
                <w:b/>
                <w:i/>
                <w:u w:val="single"/>
              </w:rPr>
              <w:t xml:space="preserve"> density</w:t>
            </w:r>
            <w:r w:rsidRPr="00281428">
              <w:rPr>
                <w:rFonts w:eastAsiaTheme="minorEastAsia"/>
                <w:b/>
                <w:i/>
                <w:u w:val="single"/>
              </w:rPr>
              <w:t xml:space="preserve"> at temperature </w:t>
            </w:r>
            <w:bookmarkStart w:id="303" w:name="_Hlk12991689"/>
            <w:r w:rsidRPr="00281428">
              <w:rPr>
                <w:rFonts w:eastAsiaTheme="minorEastAsia"/>
                <w:b/>
                <w:u w:val="single"/>
              </w:rPr>
              <w:t>T₁</w:t>
            </w:r>
            <w:bookmarkEnd w:id="303"/>
          </w:p>
          <w:p w14:paraId="4CDC9B76" w14:textId="011BBEA3" w:rsidR="00F837E2" w:rsidRPr="00281428" w:rsidRDefault="00F837E2" w:rsidP="001C7FB7">
            <w:pPr>
              <w:pStyle w:val="ListParagraph"/>
              <w:ind w:left="700"/>
              <w:rPr>
                <w:rFonts w:eastAsiaTheme="minorEastAsia"/>
                <w:b/>
                <w:u w:val="single"/>
              </w:rPr>
            </w:pPr>
            <w:r w:rsidRPr="00281428">
              <w:rPr>
                <w:rFonts w:eastAsiaTheme="minorEastAsia"/>
                <w:b/>
                <w:u w:val="single"/>
              </w:rPr>
              <w:t xml:space="preserve">ρ₂ </w:t>
            </w:r>
            <w:r w:rsidR="00987872" w:rsidRPr="00281428">
              <w:rPr>
                <w:rFonts w:eastAsiaTheme="minorEastAsia"/>
                <w:b/>
                <w:u w:val="single"/>
              </w:rPr>
              <w:t>….</w:t>
            </w:r>
            <w:r w:rsidR="00987872" w:rsidRPr="00281428">
              <w:rPr>
                <w:rFonts w:eastAsiaTheme="minorEastAsia"/>
                <w:b/>
                <w:i/>
                <w:u w:val="single"/>
              </w:rPr>
              <w:t xml:space="preserve"> density</w:t>
            </w:r>
            <w:r w:rsidRPr="00281428">
              <w:rPr>
                <w:rFonts w:eastAsiaTheme="minorEastAsia"/>
                <w:b/>
                <w:i/>
                <w:u w:val="single"/>
              </w:rPr>
              <w:t xml:space="preserve"> at temperature </w:t>
            </w:r>
            <w:r w:rsidRPr="00281428">
              <w:rPr>
                <w:rFonts w:eastAsiaTheme="minorEastAsia"/>
                <w:b/>
                <w:u w:val="single"/>
              </w:rPr>
              <w:t>T₂</w:t>
            </w:r>
          </w:p>
          <w:p w14:paraId="4644E711" w14:textId="2E54A009" w:rsidR="00F837E2" w:rsidRPr="00281428" w:rsidRDefault="00F837E2" w:rsidP="001C7FB7">
            <w:pPr>
              <w:pStyle w:val="ListParagraph"/>
              <w:ind w:left="700"/>
              <w:rPr>
                <w:rFonts w:eastAsiaTheme="minorEastAsia"/>
                <w:b/>
                <w:i/>
                <w:u w:val="single"/>
              </w:rPr>
            </w:pPr>
            <w:r w:rsidRPr="00281428">
              <w:rPr>
                <w:rFonts w:eastAsiaTheme="minorEastAsia"/>
                <w:b/>
                <w:u w:val="single"/>
              </w:rPr>
              <w:t xml:space="preserve">T₁ </w:t>
            </w:r>
            <w:r w:rsidR="00987872" w:rsidRPr="00281428">
              <w:rPr>
                <w:rFonts w:eastAsiaTheme="minorEastAsia"/>
                <w:b/>
                <w:u w:val="single"/>
              </w:rPr>
              <w:t>….</w:t>
            </w:r>
            <w:r w:rsidR="00987872" w:rsidRPr="00281428">
              <w:rPr>
                <w:rFonts w:eastAsiaTheme="minorEastAsia"/>
                <w:b/>
                <w:i/>
                <w:u w:val="single"/>
              </w:rPr>
              <w:t xml:space="preserve"> temperature</w:t>
            </w:r>
            <w:r w:rsidRPr="00281428">
              <w:rPr>
                <w:rFonts w:eastAsiaTheme="minorEastAsia"/>
                <w:b/>
                <w:i/>
                <w:u w:val="single"/>
              </w:rPr>
              <w:t xml:space="preserve"> at initial measurement</w:t>
            </w:r>
          </w:p>
          <w:p w14:paraId="5C6151EA" w14:textId="69FBD7DC" w:rsidR="00F837E2" w:rsidRPr="00281428" w:rsidRDefault="00F837E2" w:rsidP="001C7FB7">
            <w:pPr>
              <w:pStyle w:val="ListParagraph"/>
              <w:ind w:left="700"/>
              <w:rPr>
                <w:b/>
                <w:i/>
                <w:u w:val="single"/>
              </w:rPr>
            </w:pPr>
            <w:r w:rsidRPr="00281428">
              <w:rPr>
                <w:rFonts w:eastAsiaTheme="minorEastAsia"/>
                <w:b/>
                <w:u w:val="single"/>
              </w:rPr>
              <w:t xml:space="preserve">T₂ </w:t>
            </w:r>
            <w:r w:rsidR="00987872" w:rsidRPr="00281428">
              <w:rPr>
                <w:rFonts w:eastAsiaTheme="minorEastAsia"/>
                <w:b/>
                <w:u w:val="single"/>
              </w:rPr>
              <w:t>….</w:t>
            </w:r>
            <w:r w:rsidR="00987872" w:rsidRPr="00281428">
              <w:rPr>
                <w:rFonts w:eastAsiaTheme="minorEastAsia"/>
                <w:b/>
                <w:i/>
                <w:u w:val="single"/>
              </w:rPr>
              <w:t xml:space="preserve"> temperature</w:t>
            </w:r>
            <w:r w:rsidRPr="00281428">
              <w:rPr>
                <w:rFonts w:eastAsiaTheme="minorEastAsia"/>
                <w:b/>
                <w:i/>
                <w:u w:val="single"/>
              </w:rPr>
              <w:t xml:space="preserve"> at second measurement</w:t>
            </w:r>
          </w:p>
          <w:p w14:paraId="1C905693"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Apply viscosity correction if viscosity &gt; 85 centipoise at 21</w:t>
            </w:r>
            <w:r w:rsidRPr="00281428">
              <w:rPr>
                <w:b/>
                <w:u w:val="single"/>
              </w:rPr>
              <w:t xml:space="preserve">°C (70 °F) by adding the value in Table 3.X. Density Measurement to your density measurement. </w:t>
            </w:r>
          </w:p>
          <w:p w14:paraId="685613B3" w14:textId="77777777" w:rsidR="00F837E2" w:rsidRPr="00281428" w:rsidRDefault="00F837E2" w:rsidP="00F837E2">
            <w:pPr>
              <w:tabs>
                <w:tab w:val="left" w:pos="8640"/>
              </w:tabs>
              <w:ind w:left="341"/>
              <w:rPr>
                <w:rFonts w:eastAsia="Times New Roman"/>
                <w:b/>
                <w:color w:val="000000"/>
                <w:u w:val="single"/>
              </w:rPr>
            </w:pPr>
            <w:r w:rsidRPr="00281428">
              <w:rPr>
                <w:b/>
                <w:u w:val="single"/>
              </w:rPr>
              <w:t>Note: Some units may be programmed to automatically apply. See Table 3.X. Approximate Viscosities of Common Materials for viscosity.</w:t>
            </w:r>
          </w:p>
          <w:p w14:paraId="493EB31C" w14:textId="09B753BE" w:rsidR="00F837E2" w:rsidRPr="00281428" w:rsidRDefault="00CB53F6" w:rsidP="00DA1FCD">
            <w:pPr>
              <w:numPr>
                <w:ilvl w:val="0"/>
                <w:numId w:val="36"/>
              </w:numPr>
              <w:tabs>
                <w:tab w:val="left" w:pos="8640"/>
              </w:tabs>
              <w:ind w:left="360"/>
              <w:rPr>
                <w:rFonts w:eastAsia="Times New Roman"/>
                <w:b/>
                <w:color w:val="000000"/>
                <w:u w:val="single"/>
              </w:rPr>
            </w:pPr>
            <w:r w:rsidRPr="00281428">
              <w:rPr>
                <w:b/>
                <w:noProof/>
                <w:u w:val="single"/>
              </w:rPr>
              <w:drawing>
                <wp:anchor distT="0" distB="0" distL="114300" distR="114300" simplePos="0" relativeHeight="251658243" behindDoc="0" locked="0" layoutInCell="1" allowOverlap="1" wp14:anchorId="3E3AFF1D" wp14:editId="516F39E6">
                  <wp:simplePos x="0" y="0"/>
                  <wp:positionH relativeFrom="column">
                    <wp:posOffset>659571</wp:posOffset>
                  </wp:positionH>
                  <wp:positionV relativeFrom="paragraph">
                    <wp:posOffset>1154126</wp:posOffset>
                  </wp:positionV>
                  <wp:extent cx="2916936" cy="1179576"/>
                  <wp:effectExtent l="0" t="0" r="0" b="1905"/>
                  <wp:wrapSquare wrapText="bothSides"/>
                  <wp:docPr id="3" name="Picture 3" descr="formula for 3.2.3. calculating the conventional m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16936" cy="1179576"/>
                          </a:xfrm>
                          <a:prstGeom prst="rect">
                            <a:avLst/>
                          </a:prstGeom>
                          <a:noFill/>
                          <a:ln w="1">
                            <a:noFill/>
                            <a:miter lim="800000"/>
                            <a:headEnd/>
                            <a:tailEnd type="none" w="med" len="med"/>
                          </a:ln>
                          <a:effectLst/>
                        </pic:spPr>
                      </pic:pic>
                    </a:graphicData>
                  </a:graphic>
                  <wp14:sizeRelH relativeFrom="margin">
                    <wp14:pctWidth>0</wp14:pctWidth>
                  </wp14:sizeRelH>
                  <wp14:sizeRelV relativeFrom="margin">
                    <wp14:pctHeight>0</wp14:pctHeight>
                  </wp14:sizeRelV>
                </wp:anchor>
              </w:drawing>
            </w:r>
            <w:r w:rsidR="00F837E2" w:rsidRPr="00281428">
              <w:rPr>
                <w:b/>
                <w:u w:val="single"/>
              </w:rPr>
              <w:t xml:space="preserve">Calculate the Conventional Mass using the formula below (This value will be approximately 0.999) to correct density to apparent density. to correct density to apparent density of product at prevailing atmospheric pressure or for higher accuracy calculate apparent density by using the following formula (terms as defined in NIST Standard Operating Procedure SOP 2 “Recommended Standard Operating Procedure for Applying Air Buoyancy Corrections </w:t>
            </w:r>
            <w:hyperlink r:id="rId37" w:history="1">
              <w:r w:rsidR="00F837E2" w:rsidRPr="00281428">
                <w:rPr>
                  <w:rStyle w:val="Hyperlink"/>
                  <w:b/>
                </w:rPr>
                <w:t>https://www.nist.gov/pml/weights-and-measures/laboratory-metrology/standard-operating-procedures</w:t>
              </w:r>
            </w:hyperlink>
            <w:r w:rsidR="00F837E2" w:rsidRPr="00281428">
              <w:rPr>
                <w:b/>
                <w:u w:val="single"/>
              </w:rPr>
              <w:t xml:space="preserve">  </w:t>
            </w:r>
          </w:p>
          <w:p w14:paraId="056A2765" w14:textId="24EBEB87" w:rsidR="00F837E2" w:rsidRPr="00281428" w:rsidRDefault="00F837E2" w:rsidP="00DA1FCD">
            <w:pPr>
              <w:numPr>
                <w:ilvl w:val="0"/>
                <w:numId w:val="36"/>
              </w:numPr>
              <w:tabs>
                <w:tab w:val="left" w:pos="8640"/>
              </w:tabs>
              <w:spacing w:before="240"/>
              <w:ind w:left="360"/>
              <w:rPr>
                <w:rFonts w:eastAsia="Times New Roman"/>
                <w:b/>
                <w:color w:val="000000"/>
                <w:u w:val="single"/>
              </w:rPr>
            </w:pPr>
            <w:r w:rsidRPr="00281428">
              <w:rPr>
                <w:b/>
                <w:u w:val="single"/>
              </w:rPr>
              <w:t>Drain the instrument and repeat Steps 6–10 on a second specimen of the same package for verification of first measurement.</w:t>
            </w:r>
          </w:p>
          <w:p w14:paraId="54760896"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b/>
                <w:u w:val="single"/>
              </w:rPr>
              <w:t xml:space="preserve">Compare the two readings, they must agree within 0.0003 g/cc.  Calculate the average density of the two specimens from the sample.  If the difference of two readings is greater than 0.0003 g/cc, discard results and repeat testing of sample.  Air or undissolved gas will cause erroneous measurement errors.  User of the test method shall always visually inspect for undissolved gas in </w:t>
            </w:r>
            <w:r w:rsidRPr="00281428">
              <w:rPr>
                <w:b/>
                <w:u w:val="single"/>
              </w:rPr>
              <w:lastRenderedPageBreak/>
              <w:t>measurement tube for valid test.  User must investigate the cause such as air, operator technique, instrument stability, etc. before repeating more than two tests.</w:t>
            </w:r>
          </w:p>
          <w:p w14:paraId="4F34337D"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Repeat testing for second package of the lot.</w:t>
            </w:r>
          </w:p>
          <w:p w14:paraId="20A829D0"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Calculate the average of sample 1 and sample 2; the two results must agree within 0.0003 g/cc. If the difference between the densities of the two packages exceeds 0.0003 g/cc, use the volumetric procedure in Section 3.3. “Volumetric Test Procedure for Non-Viscous Liquids.”</w:t>
            </w:r>
          </w:p>
          <w:p w14:paraId="6E58DD83"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rFonts w:eastAsia="Times New Roman"/>
                <w:b/>
                <w:color w:val="000000"/>
                <w:u w:val="single"/>
              </w:rPr>
              <w:t xml:space="preserve">Convert the unit of the average density back to the unit of measure specified on the package label </w:t>
            </w:r>
            <w:proofErr w:type="gramStart"/>
            <w:r w:rsidRPr="00281428">
              <w:rPr>
                <w:rFonts w:eastAsia="Times New Roman"/>
                <w:b/>
                <w:color w:val="000000"/>
                <w:u w:val="single"/>
              </w:rPr>
              <w:t>i.e.</w:t>
            </w:r>
            <w:proofErr w:type="gramEnd"/>
            <w:r w:rsidRPr="00281428">
              <w:rPr>
                <w:rFonts w:eastAsia="Times New Roman"/>
                <w:b/>
                <w:color w:val="000000"/>
                <w:u w:val="single"/>
              </w:rPr>
              <w:t xml:space="preserve"> pounds/fluid ounce, etc.</w:t>
            </w:r>
          </w:p>
          <w:p w14:paraId="6236D955"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b/>
                <w:u w:val="single"/>
              </w:rPr>
              <w:t xml:space="preserve">The digital density meter must be stored clean. After final use of the day or extended </w:t>
            </w:r>
            <w:proofErr w:type="gramStart"/>
            <w:r w:rsidRPr="00281428">
              <w:rPr>
                <w:b/>
                <w:u w:val="single"/>
              </w:rPr>
              <w:t>period of time</w:t>
            </w:r>
            <w:proofErr w:type="gramEnd"/>
            <w:r w:rsidRPr="00281428">
              <w:rPr>
                <w:b/>
                <w:u w:val="single"/>
              </w:rPr>
              <w:t xml:space="preserve">, the instrument should be drained and cleaned following the manufacturer’s recommended cleaning procedures.  Two cleaning agents should be used. The first cleaning liquid removes sample </w:t>
            </w:r>
            <w:proofErr w:type="gramStart"/>
            <w:r w:rsidRPr="00281428">
              <w:rPr>
                <w:b/>
                <w:u w:val="single"/>
              </w:rPr>
              <w:t>residue</w:t>
            </w:r>
            <w:proofErr w:type="gramEnd"/>
            <w:r w:rsidRPr="00281428">
              <w:rPr>
                <w:b/>
                <w:u w:val="single"/>
              </w:rPr>
              <w:t xml:space="preserve"> and the second cleaning liquid removes the first cleaning liquid. See Table 3.X. Cleaning Agents for examples of cleaning agents recommended by a particular digital density meter manufacturer. </w:t>
            </w:r>
          </w:p>
          <w:p w14:paraId="6D3C7DB3" w14:textId="1A2ACB51" w:rsidR="00F837E2" w:rsidRPr="00281428" w:rsidRDefault="00F837E2" w:rsidP="00F837E2">
            <w:pPr>
              <w:tabs>
                <w:tab w:val="left" w:pos="8640"/>
              </w:tabs>
              <w:ind w:left="341"/>
              <w:rPr>
                <w:rFonts w:eastAsia="Times New Roman"/>
                <w:b/>
                <w:color w:val="000000"/>
                <w:u w:val="single"/>
              </w:rPr>
            </w:pPr>
            <w:r w:rsidRPr="00281428">
              <w:rPr>
                <w:b/>
                <w:u w:val="single"/>
              </w:rPr>
              <w:t>NOTE:</w:t>
            </w:r>
            <w:r w:rsidR="00B37714" w:rsidRPr="00281428">
              <w:rPr>
                <w:b/>
                <w:u w:val="single"/>
              </w:rPr>
              <w:t xml:space="preserve"> </w:t>
            </w:r>
            <w:r w:rsidRPr="00281428">
              <w:rPr>
                <w:b/>
                <w:u w:val="single"/>
              </w:rPr>
              <w:t xml:space="preserve"> If the unit will be immediately used to measure another sample of similar composition the unit may be drained and flushed with new sample three times before next analysis.</w:t>
            </w:r>
          </w:p>
          <w:p w14:paraId="44AF247A" w14:textId="77777777" w:rsidR="00F837E2" w:rsidRPr="00281428" w:rsidRDefault="00F837E2" w:rsidP="00DA1FCD">
            <w:pPr>
              <w:numPr>
                <w:ilvl w:val="0"/>
                <w:numId w:val="36"/>
              </w:numPr>
              <w:tabs>
                <w:tab w:val="left" w:pos="8640"/>
              </w:tabs>
              <w:ind w:left="360"/>
              <w:rPr>
                <w:rFonts w:eastAsia="Times New Roman"/>
                <w:b/>
                <w:color w:val="000000"/>
                <w:u w:val="single"/>
              </w:rPr>
            </w:pPr>
            <w:r w:rsidRPr="00281428">
              <w:rPr>
                <w:b/>
                <w:u w:val="single"/>
              </w:rPr>
              <w:t>Connect digital density meter to a source of low pressure, such as an aquarium air pump, to dry the unit.</w:t>
            </w:r>
          </w:p>
        </w:tc>
      </w:tr>
    </w:tbl>
    <w:p w14:paraId="2CBC069A" w14:textId="77777777" w:rsidR="00F837E2" w:rsidRPr="00281428" w:rsidRDefault="00F837E2" w:rsidP="00F837E2">
      <w:pPr>
        <w:pStyle w:val="NoSpacing"/>
        <w:rPr>
          <w:rFonts w:ascii="Times New Roman" w:hAnsi="Times New Roman"/>
          <w:b/>
          <w:sz w:val="20"/>
          <w:szCs w:val="20"/>
          <w:u w:val="single"/>
        </w:rPr>
      </w:pPr>
    </w:p>
    <w:tbl>
      <w:tblPr>
        <w:tblpPr w:leftFromText="187" w:rightFromText="187" w:vertAnchor="text" w:horzAnchor="margin" w:tblpXSpec="center" w:tblpY="1"/>
        <w:tblOverlap w:val="never"/>
        <w:tblW w:w="7105" w:type="dxa"/>
        <w:tblLook w:val="04A0" w:firstRow="1" w:lastRow="0" w:firstColumn="1" w:lastColumn="0" w:noHBand="0" w:noVBand="1"/>
        <w:tblCaption w:val="Table X.X. Density Measurement"/>
        <w:tblDescription w:val="Table for Density Measurement.   "/>
      </w:tblPr>
      <w:tblGrid>
        <w:gridCol w:w="1554"/>
        <w:gridCol w:w="1471"/>
        <w:gridCol w:w="4080"/>
      </w:tblGrid>
      <w:tr w:rsidR="00F837E2" w:rsidRPr="00281428" w14:paraId="32EE284D" w14:textId="77777777" w:rsidTr="009E3338">
        <w:trPr>
          <w:trHeight w:val="347"/>
        </w:trPr>
        <w:tc>
          <w:tcPr>
            <w:tcW w:w="7105" w:type="dxa"/>
            <w:gridSpan w:val="3"/>
            <w:tcBorders>
              <w:top w:val="single" w:sz="4" w:space="0" w:color="auto"/>
              <w:left w:val="single" w:sz="4" w:space="0" w:color="auto"/>
              <w:bottom w:val="nil"/>
              <w:right w:val="single" w:sz="4" w:space="0" w:color="000000"/>
            </w:tcBorders>
            <w:shd w:val="clear" w:color="auto" w:fill="auto"/>
            <w:noWrap/>
            <w:vAlign w:val="bottom"/>
          </w:tcPr>
          <w:p w14:paraId="44560442" w14:textId="77777777" w:rsidR="00F837E2" w:rsidRPr="00281428" w:rsidRDefault="00F837E2" w:rsidP="00D42201">
            <w:pPr>
              <w:spacing w:before="120" w:after="120"/>
              <w:jc w:val="center"/>
              <w:rPr>
                <w:rFonts w:eastAsia="Times New Roman"/>
                <w:b/>
                <w:color w:val="000000"/>
                <w:u w:val="single"/>
              </w:rPr>
            </w:pPr>
            <w:r w:rsidRPr="00281428">
              <w:rPr>
                <w:rFonts w:eastAsia="Times New Roman"/>
                <w:b/>
                <w:color w:val="000000"/>
                <w:u w:val="single"/>
              </w:rPr>
              <w:t>Table X.X.   Density Measurement</w:t>
            </w:r>
          </w:p>
        </w:tc>
      </w:tr>
      <w:tr w:rsidR="00F837E2" w:rsidRPr="00281428" w14:paraId="38A16EDC" w14:textId="77777777" w:rsidTr="009E3338">
        <w:trPr>
          <w:trHeight w:val="330"/>
        </w:trPr>
        <w:tc>
          <w:tcPr>
            <w:tcW w:w="710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58CE105" w14:textId="482C17E5" w:rsidR="00F837E2" w:rsidRPr="00281428" w:rsidRDefault="00F837E2" w:rsidP="00987872">
            <w:pPr>
              <w:spacing w:after="60"/>
              <w:rPr>
                <w:rFonts w:eastAsia="Times New Roman"/>
                <w:b/>
                <w:color w:val="000000"/>
                <w:u w:val="single"/>
              </w:rPr>
            </w:pPr>
            <w:r w:rsidRPr="00281428">
              <w:rPr>
                <w:rFonts w:eastAsia="Times New Roman"/>
                <w:b/>
                <w:color w:val="000000"/>
                <w:u w:val="single"/>
              </w:rPr>
              <w:t>Calculate the density of air at the temperature of test</w:t>
            </w:r>
            <w:r w:rsidR="00CF4099" w:rsidRPr="00281428">
              <w:rPr>
                <w:rFonts w:eastAsia="Times New Roman"/>
                <w:b/>
                <w:color w:val="000000"/>
                <w:u w:val="single"/>
              </w:rPr>
              <w:t xml:space="preserve"> </w:t>
            </w:r>
          </w:p>
        </w:tc>
      </w:tr>
      <w:tr w:rsidR="00F837E2" w:rsidRPr="00281428" w14:paraId="7BB0F934" w14:textId="77777777" w:rsidTr="009E3338">
        <w:trPr>
          <w:trHeight w:val="399"/>
        </w:trPr>
        <w:tc>
          <w:tcPr>
            <w:tcW w:w="7105" w:type="dxa"/>
            <w:gridSpan w:val="3"/>
            <w:tcBorders>
              <w:top w:val="nil"/>
              <w:left w:val="single" w:sz="4" w:space="0" w:color="auto"/>
              <w:bottom w:val="nil"/>
              <w:right w:val="single" w:sz="4" w:space="0" w:color="auto"/>
            </w:tcBorders>
            <w:shd w:val="clear" w:color="auto" w:fill="auto"/>
            <w:noWrap/>
            <w:vAlign w:val="bottom"/>
            <w:hideMark/>
          </w:tcPr>
          <w:p w14:paraId="2426B315" w14:textId="77777777" w:rsidR="00F837E2" w:rsidRPr="00281428" w:rsidRDefault="00F837E2" w:rsidP="00987872">
            <w:pPr>
              <w:spacing w:after="60"/>
              <w:rPr>
                <w:rFonts w:eastAsia="Times New Roman"/>
                <w:b/>
                <w:color w:val="000000"/>
                <w:u w:val="single"/>
              </w:rPr>
            </w:pPr>
            <w:r w:rsidRPr="00281428">
              <w:rPr>
                <w:rFonts w:eastAsia="Times New Roman"/>
                <w:b/>
                <w:color w:val="000000"/>
                <w:u w:val="single"/>
              </w:rPr>
              <w:t>using the following equation:  </w:t>
            </w:r>
          </w:p>
        </w:tc>
      </w:tr>
      <w:tr w:rsidR="00F837E2" w:rsidRPr="00281428" w14:paraId="12720286" w14:textId="77777777" w:rsidTr="009E3338">
        <w:trPr>
          <w:trHeight w:val="315"/>
        </w:trPr>
        <w:tc>
          <w:tcPr>
            <w:tcW w:w="7105" w:type="dxa"/>
            <w:gridSpan w:val="3"/>
            <w:tcBorders>
              <w:top w:val="nil"/>
              <w:left w:val="single" w:sz="4" w:space="0" w:color="auto"/>
              <w:bottom w:val="nil"/>
              <w:right w:val="single" w:sz="4" w:space="0" w:color="auto"/>
            </w:tcBorders>
            <w:shd w:val="clear" w:color="auto" w:fill="auto"/>
            <w:noWrap/>
            <w:vAlign w:val="bottom"/>
            <w:hideMark/>
          </w:tcPr>
          <w:p w14:paraId="4F553228" w14:textId="77777777" w:rsidR="00F837E2" w:rsidRPr="00281428" w:rsidRDefault="00F837E2" w:rsidP="00987872">
            <w:pPr>
              <w:spacing w:after="60"/>
              <w:rPr>
                <w:rFonts w:eastAsia="Times New Roman"/>
                <w:b/>
                <w:color w:val="000000"/>
                <w:u w:val="single"/>
              </w:rPr>
            </w:pPr>
            <w:r w:rsidRPr="00281428">
              <w:rPr>
                <w:rFonts w:eastAsia="Times New Roman"/>
                <w:b/>
                <w:color w:val="000000"/>
                <w:u w:val="single"/>
              </w:rPr>
              <w:t>d</w:t>
            </w:r>
            <w:r w:rsidRPr="00281428">
              <w:rPr>
                <w:rFonts w:eastAsia="Times New Roman"/>
                <w:b/>
                <w:color w:val="000000"/>
                <w:u w:val="single"/>
                <w:vertAlign w:val="subscript"/>
              </w:rPr>
              <w:t>air</w:t>
            </w:r>
            <w:r w:rsidRPr="00281428">
              <w:rPr>
                <w:rFonts w:eastAsia="Times New Roman"/>
                <w:b/>
                <w:color w:val="000000"/>
                <w:u w:val="single"/>
              </w:rPr>
              <w:t>, g/mL = 0.001293[273.15/T][P/760] </w:t>
            </w:r>
          </w:p>
        </w:tc>
      </w:tr>
      <w:tr w:rsidR="00F837E2" w:rsidRPr="00281428" w14:paraId="7986603E" w14:textId="77777777" w:rsidTr="009E3338">
        <w:trPr>
          <w:trHeight w:val="315"/>
        </w:trPr>
        <w:tc>
          <w:tcPr>
            <w:tcW w:w="7105" w:type="dxa"/>
            <w:gridSpan w:val="3"/>
            <w:tcBorders>
              <w:top w:val="nil"/>
              <w:left w:val="single" w:sz="4" w:space="0" w:color="auto"/>
              <w:bottom w:val="nil"/>
              <w:right w:val="single" w:sz="4" w:space="0" w:color="auto"/>
            </w:tcBorders>
            <w:shd w:val="clear" w:color="auto" w:fill="auto"/>
            <w:noWrap/>
            <w:vAlign w:val="bottom"/>
            <w:hideMark/>
          </w:tcPr>
          <w:p w14:paraId="3AD787ED" w14:textId="77777777" w:rsidR="00F837E2" w:rsidRPr="00281428" w:rsidRDefault="00F837E2" w:rsidP="00987872">
            <w:pPr>
              <w:spacing w:after="60"/>
              <w:rPr>
                <w:rFonts w:eastAsia="Times New Roman"/>
                <w:b/>
                <w:color w:val="000000"/>
                <w:u w:val="single"/>
              </w:rPr>
            </w:pPr>
            <w:r w:rsidRPr="00281428">
              <w:rPr>
                <w:rFonts w:eastAsia="Times New Roman"/>
                <w:b/>
                <w:color w:val="000000"/>
                <w:u w:val="single"/>
              </w:rPr>
              <w:t>where: </w:t>
            </w:r>
          </w:p>
        </w:tc>
      </w:tr>
      <w:tr w:rsidR="00F837E2" w:rsidRPr="00281428" w14:paraId="7EFE2624" w14:textId="77777777" w:rsidTr="009E3338">
        <w:trPr>
          <w:trHeight w:val="315"/>
        </w:trPr>
        <w:tc>
          <w:tcPr>
            <w:tcW w:w="7105" w:type="dxa"/>
            <w:gridSpan w:val="3"/>
            <w:tcBorders>
              <w:top w:val="nil"/>
              <w:left w:val="single" w:sz="4" w:space="0" w:color="auto"/>
              <w:bottom w:val="nil"/>
              <w:right w:val="single" w:sz="4" w:space="0" w:color="auto"/>
            </w:tcBorders>
            <w:shd w:val="clear" w:color="auto" w:fill="auto"/>
            <w:noWrap/>
            <w:vAlign w:val="bottom"/>
            <w:hideMark/>
          </w:tcPr>
          <w:p w14:paraId="33271FDD" w14:textId="77777777" w:rsidR="00F837E2" w:rsidRPr="00281428" w:rsidRDefault="00F837E2" w:rsidP="00987872">
            <w:pPr>
              <w:spacing w:after="60"/>
              <w:rPr>
                <w:rFonts w:eastAsia="Times New Roman"/>
                <w:b/>
                <w:color w:val="000000"/>
                <w:u w:val="single"/>
              </w:rPr>
            </w:pPr>
            <w:r w:rsidRPr="00281428">
              <w:rPr>
                <w:rFonts w:eastAsia="Times New Roman"/>
                <w:b/>
                <w:color w:val="000000"/>
                <w:u w:val="single"/>
              </w:rPr>
              <w:t>T = temperature, K, and </w:t>
            </w:r>
          </w:p>
        </w:tc>
      </w:tr>
      <w:tr w:rsidR="00F837E2" w:rsidRPr="00281428" w14:paraId="5CF3C7C3" w14:textId="77777777" w:rsidTr="009E3338">
        <w:trPr>
          <w:trHeight w:val="315"/>
        </w:trPr>
        <w:tc>
          <w:tcPr>
            <w:tcW w:w="7105" w:type="dxa"/>
            <w:gridSpan w:val="3"/>
            <w:tcBorders>
              <w:top w:val="nil"/>
              <w:left w:val="single" w:sz="4" w:space="0" w:color="auto"/>
              <w:bottom w:val="nil"/>
              <w:right w:val="single" w:sz="4" w:space="0" w:color="auto"/>
            </w:tcBorders>
            <w:shd w:val="clear" w:color="auto" w:fill="auto"/>
            <w:noWrap/>
            <w:vAlign w:val="bottom"/>
            <w:hideMark/>
          </w:tcPr>
          <w:p w14:paraId="770A3081" w14:textId="77777777" w:rsidR="00F837E2" w:rsidRPr="00281428" w:rsidRDefault="00F837E2" w:rsidP="00987872">
            <w:pPr>
              <w:spacing w:after="60"/>
              <w:rPr>
                <w:rFonts w:eastAsia="Times New Roman"/>
                <w:b/>
                <w:color w:val="000000"/>
                <w:u w:val="single"/>
              </w:rPr>
            </w:pPr>
            <w:r w:rsidRPr="00281428">
              <w:rPr>
                <w:rFonts w:eastAsia="Times New Roman"/>
                <w:b/>
                <w:color w:val="000000"/>
                <w:u w:val="single"/>
              </w:rPr>
              <w:t>P = barometric pressure, torr. </w:t>
            </w:r>
          </w:p>
        </w:tc>
      </w:tr>
      <w:tr w:rsidR="00F837E2" w:rsidRPr="00281428" w14:paraId="4C2CA210" w14:textId="77777777" w:rsidTr="009E3338">
        <w:trPr>
          <w:trHeight w:val="315"/>
        </w:trPr>
        <w:tc>
          <w:tcPr>
            <w:tcW w:w="1554" w:type="dxa"/>
            <w:tcBorders>
              <w:top w:val="nil"/>
              <w:left w:val="single" w:sz="4" w:space="0" w:color="auto"/>
              <w:bottom w:val="nil"/>
              <w:right w:val="nil"/>
            </w:tcBorders>
            <w:shd w:val="clear" w:color="auto" w:fill="auto"/>
            <w:noWrap/>
            <w:vAlign w:val="bottom"/>
            <w:hideMark/>
          </w:tcPr>
          <w:p w14:paraId="0F436A45" w14:textId="77777777" w:rsidR="00F837E2" w:rsidRPr="00281428" w:rsidRDefault="00F837E2" w:rsidP="00D124A9">
            <w:pPr>
              <w:spacing w:after="60"/>
              <w:jc w:val="right"/>
              <w:rPr>
                <w:rFonts w:eastAsia="Times New Roman"/>
                <w:b/>
                <w:color w:val="000000"/>
                <w:u w:val="single"/>
              </w:rPr>
            </w:pPr>
            <w:r w:rsidRPr="00281428">
              <w:rPr>
                <w:rFonts w:eastAsia="Times New Roman"/>
                <w:b/>
                <w:color w:val="000000"/>
                <w:u w:val="single"/>
              </w:rPr>
              <w:t>°C</w:t>
            </w:r>
          </w:p>
        </w:tc>
        <w:tc>
          <w:tcPr>
            <w:tcW w:w="1471" w:type="dxa"/>
            <w:tcBorders>
              <w:top w:val="nil"/>
              <w:left w:val="nil"/>
              <w:bottom w:val="nil"/>
              <w:right w:val="nil"/>
            </w:tcBorders>
            <w:shd w:val="clear" w:color="auto" w:fill="auto"/>
            <w:noWrap/>
            <w:vAlign w:val="bottom"/>
            <w:hideMark/>
          </w:tcPr>
          <w:p w14:paraId="28509828" w14:textId="77777777" w:rsidR="00F837E2" w:rsidRPr="00281428" w:rsidRDefault="00F837E2" w:rsidP="00D124A9">
            <w:pPr>
              <w:spacing w:after="60"/>
              <w:jc w:val="right"/>
              <w:rPr>
                <w:rFonts w:eastAsia="Times New Roman"/>
                <w:b/>
                <w:color w:val="000000"/>
                <w:u w:val="single"/>
              </w:rPr>
            </w:pPr>
            <w:r w:rsidRPr="00281428">
              <w:rPr>
                <w:rFonts w:eastAsia="Times New Roman"/>
                <w:b/>
                <w:color w:val="000000"/>
                <w:u w:val="single"/>
              </w:rPr>
              <w:t>mmHg</w:t>
            </w:r>
          </w:p>
        </w:tc>
        <w:tc>
          <w:tcPr>
            <w:tcW w:w="4080" w:type="dxa"/>
            <w:tcBorders>
              <w:top w:val="nil"/>
              <w:left w:val="nil"/>
              <w:bottom w:val="nil"/>
              <w:right w:val="single" w:sz="4" w:space="0" w:color="auto"/>
            </w:tcBorders>
            <w:shd w:val="clear" w:color="auto" w:fill="auto"/>
            <w:noWrap/>
            <w:vAlign w:val="bottom"/>
            <w:hideMark/>
          </w:tcPr>
          <w:p w14:paraId="36EA0E20" w14:textId="77777777" w:rsidR="00F837E2" w:rsidRPr="00281428" w:rsidRDefault="00F837E2" w:rsidP="00D124A9">
            <w:pPr>
              <w:spacing w:after="60"/>
              <w:rPr>
                <w:rFonts w:eastAsia="Times New Roman"/>
                <w:b/>
                <w:color w:val="000000"/>
                <w:u w:val="single"/>
              </w:rPr>
            </w:pPr>
            <w:r w:rsidRPr="00281428">
              <w:rPr>
                <w:rFonts w:eastAsia="Times New Roman"/>
                <w:b/>
                <w:color w:val="000000"/>
                <w:u w:val="single"/>
              </w:rPr>
              <w:t>d</w:t>
            </w:r>
            <w:r w:rsidRPr="00281428">
              <w:rPr>
                <w:rFonts w:eastAsia="Times New Roman"/>
                <w:b/>
                <w:color w:val="000000"/>
                <w:u w:val="single"/>
                <w:vertAlign w:val="subscript"/>
              </w:rPr>
              <w:t>air</w:t>
            </w:r>
            <w:r w:rsidRPr="00281428">
              <w:rPr>
                <w:rFonts w:eastAsia="Times New Roman"/>
                <w:b/>
                <w:color w:val="000000"/>
                <w:u w:val="single"/>
              </w:rPr>
              <w:t>, g/mL </w:t>
            </w:r>
          </w:p>
        </w:tc>
      </w:tr>
      <w:tr w:rsidR="00F837E2" w:rsidRPr="00281428" w14:paraId="5BA909C2" w14:textId="77777777" w:rsidTr="009E3338">
        <w:trPr>
          <w:trHeight w:val="315"/>
        </w:trPr>
        <w:tc>
          <w:tcPr>
            <w:tcW w:w="1554" w:type="dxa"/>
            <w:tcBorders>
              <w:top w:val="nil"/>
              <w:left w:val="single" w:sz="4" w:space="0" w:color="auto"/>
              <w:bottom w:val="single" w:sz="4" w:space="0" w:color="auto"/>
              <w:right w:val="nil"/>
            </w:tcBorders>
            <w:shd w:val="clear" w:color="auto" w:fill="D9D9D9" w:themeFill="background1" w:themeFillShade="D9"/>
            <w:noWrap/>
            <w:vAlign w:val="bottom"/>
            <w:hideMark/>
          </w:tcPr>
          <w:p w14:paraId="675221BE" w14:textId="77777777" w:rsidR="00F837E2" w:rsidRPr="00281428" w:rsidRDefault="00F837E2" w:rsidP="00987872">
            <w:pPr>
              <w:spacing w:after="60"/>
              <w:jc w:val="right"/>
              <w:rPr>
                <w:rFonts w:eastAsia="Times New Roman"/>
                <w:b/>
                <w:u w:val="single"/>
              </w:rPr>
            </w:pPr>
            <w:r w:rsidRPr="00281428">
              <w:rPr>
                <w:rFonts w:eastAsia="Times New Roman"/>
                <w:b/>
                <w:u w:val="single"/>
              </w:rPr>
              <w:t>15.56</w:t>
            </w:r>
          </w:p>
        </w:tc>
        <w:tc>
          <w:tcPr>
            <w:tcW w:w="1471" w:type="dxa"/>
            <w:tcBorders>
              <w:top w:val="nil"/>
              <w:left w:val="nil"/>
              <w:bottom w:val="single" w:sz="4" w:space="0" w:color="auto"/>
              <w:right w:val="nil"/>
            </w:tcBorders>
            <w:shd w:val="clear" w:color="auto" w:fill="D9D9D9" w:themeFill="background1" w:themeFillShade="D9"/>
            <w:noWrap/>
            <w:vAlign w:val="bottom"/>
            <w:hideMark/>
          </w:tcPr>
          <w:p w14:paraId="54E55F5F" w14:textId="77777777" w:rsidR="00F837E2" w:rsidRPr="00281428" w:rsidRDefault="00F837E2" w:rsidP="00987872">
            <w:pPr>
              <w:spacing w:after="60"/>
              <w:jc w:val="right"/>
              <w:rPr>
                <w:rFonts w:eastAsia="Times New Roman"/>
                <w:b/>
                <w:u w:val="single"/>
              </w:rPr>
            </w:pPr>
            <w:r w:rsidRPr="00281428">
              <w:rPr>
                <w:rFonts w:eastAsia="Times New Roman"/>
                <w:b/>
                <w:u w:val="single"/>
              </w:rPr>
              <w:t>760</w:t>
            </w:r>
          </w:p>
        </w:tc>
        <w:tc>
          <w:tcPr>
            <w:tcW w:w="4080" w:type="dxa"/>
            <w:tcBorders>
              <w:top w:val="nil"/>
              <w:left w:val="nil"/>
              <w:bottom w:val="single" w:sz="4" w:space="0" w:color="auto"/>
              <w:right w:val="single" w:sz="4" w:space="0" w:color="auto"/>
            </w:tcBorders>
            <w:shd w:val="clear" w:color="auto" w:fill="A6A6A6" w:themeFill="background1" w:themeFillShade="A6"/>
            <w:noWrap/>
            <w:vAlign w:val="bottom"/>
            <w:hideMark/>
          </w:tcPr>
          <w:p w14:paraId="7E88A82F" w14:textId="77777777" w:rsidR="00F837E2" w:rsidRPr="00281428" w:rsidRDefault="00F837E2" w:rsidP="00987872">
            <w:pPr>
              <w:spacing w:after="60"/>
              <w:jc w:val="right"/>
              <w:rPr>
                <w:rFonts w:eastAsia="Times New Roman"/>
                <w:b/>
                <w:color w:val="000000"/>
                <w:u w:val="single"/>
              </w:rPr>
            </w:pPr>
            <w:r w:rsidRPr="00281428">
              <w:rPr>
                <w:rFonts w:eastAsia="Times New Roman"/>
                <w:b/>
                <w:color w:val="000000"/>
                <w:u w:val="single"/>
              </w:rPr>
              <w:t>0.001223314  </w:t>
            </w:r>
          </w:p>
        </w:tc>
      </w:tr>
    </w:tbl>
    <w:p w14:paraId="7EE84CE3" w14:textId="77777777" w:rsidR="00F837E2" w:rsidRPr="00281428" w:rsidRDefault="00F837E2" w:rsidP="001C7FB7">
      <w:pPr>
        <w:pStyle w:val="311H1"/>
        <w:keepNext w:val="0"/>
        <w:numPr>
          <w:ilvl w:val="0"/>
          <w:numId w:val="0"/>
        </w:numPr>
        <w:ind w:left="720" w:hanging="702"/>
        <w:rPr>
          <w:sz w:val="20"/>
          <w:u w:val="single"/>
        </w:rPr>
      </w:pPr>
    </w:p>
    <w:tbl>
      <w:tblPr>
        <w:tblW w:w="6301" w:type="dxa"/>
        <w:jc w:val="center"/>
        <w:tblLook w:val="04A0" w:firstRow="1" w:lastRow="0" w:firstColumn="1" w:lastColumn="0" w:noHBand="0" w:noVBand="1"/>
        <w:tblCaption w:val="Approximate Viscosities of Common Material"/>
        <w:tblDescription w:val="Table:  Approximate Viscosities of Common Material"/>
      </w:tblPr>
      <w:tblGrid>
        <w:gridCol w:w="2503"/>
        <w:gridCol w:w="1894"/>
        <w:gridCol w:w="1904"/>
      </w:tblGrid>
      <w:tr w:rsidR="00D42201" w:rsidRPr="00281428" w14:paraId="498F121F" w14:textId="77777777" w:rsidTr="00D42201">
        <w:trPr>
          <w:trHeight w:val="429"/>
          <w:jc w:val="center"/>
        </w:trPr>
        <w:tc>
          <w:tcPr>
            <w:tcW w:w="63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BA82A" w14:textId="77777777" w:rsidR="00D42201" w:rsidRPr="00281428" w:rsidRDefault="00D42201" w:rsidP="001C7FB7">
            <w:pPr>
              <w:spacing w:before="240" w:after="60"/>
              <w:jc w:val="center"/>
              <w:rPr>
                <w:rFonts w:eastAsia="Times New Roman"/>
                <w:b/>
                <w:bCs/>
                <w:color w:val="000000"/>
                <w:u w:val="single"/>
              </w:rPr>
            </w:pPr>
            <w:r w:rsidRPr="00281428">
              <w:rPr>
                <w:rFonts w:eastAsia="Times New Roman"/>
                <w:b/>
                <w:bCs/>
                <w:color w:val="000000"/>
                <w:u w:val="single"/>
              </w:rPr>
              <w:t>Table X.X.  Approximate Viscosities of Common Materials</w:t>
            </w:r>
          </w:p>
        </w:tc>
      </w:tr>
      <w:tr w:rsidR="00D42201" w:rsidRPr="00281428" w14:paraId="5B2C81DD" w14:textId="77777777" w:rsidTr="00987872">
        <w:trPr>
          <w:trHeight w:val="530"/>
          <w:jc w:val="center"/>
        </w:trPr>
        <w:tc>
          <w:tcPr>
            <w:tcW w:w="63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71850" w14:textId="77777777" w:rsidR="00D42201" w:rsidRPr="00281428" w:rsidRDefault="00D42201" w:rsidP="001C7FB7">
            <w:pPr>
              <w:spacing w:before="240" w:after="60"/>
              <w:rPr>
                <w:rFonts w:eastAsia="Times New Roman"/>
                <w:b/>
                <w:bCs/>
                <w:color w:val="000000"/>
                <w:u w:val="single"/>
              </w:rPr>
            </w:pPr>
          </w:p>
        </w:tc>
      </w:tr>
      <w:tr w:rsidR="00D42201" w:rsidRPr="00281428" w14:paraId="7441883B" w14:textId="77777777" w:rsidTr="00987872">
        <w:trPr>
          <w:trHeight w:val="540"/>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557EDC17" w14:textId="77777777" w:rsidR="00D42201" w:rsidRPr="00281428" w:rsidRDefault="00D42201" w:rsidP="001C7FB7">
            <w:pPr>
              <w:spacing w:before="240" w:after="60"/>
              <w:jc w:val="center"/>
              <w:rPr>
                <w:rFonts w:eastAsia="Times New Roman"/>
                <w:b/>
                <w:bCs/>
                <w:color w:val="000000"/>
                <w:u w:val="single"/>
              </w:rPr>
            </w:pPr>
            <w:r w:rsidRPr="00281428">
              <w:rPr>
                <w:rFonts w:eastAsia="Times New Roman"/>
                <w:b/>
                <w:bCs/>
                <w:color w:val="000000"/>
                <w:u w:val="single"/>
              </w:rPr>
              <w:t>Material</w:t>
            </w:r>
          </w:p>
        </w:tc>
        <w:tc>
          <w:tcPr>
            <w:tcW w:w="1894" w:type="dxa"/>
            <w:tcBorders>
              <w:top w:val="nil"/>
              <w:left w:val="nil"/>
              <w:bottom w:val="single" w:sz="4" w:space="0" w:color="auto"/>
              <w:right w:val="single" w:sz="4" w:space="0" w:color="auto"/>
            </w:tcBorders>
            <w:shd w:val="clear" w:color="auto" w:fill="auto"/>
            <w:vAlign w:val="center"/>
            <w:hideMark/>
          </w:tcPr>
          <w:p w14:paraId="7ECE5244" w14:textId="77777777" w:rsidR="00D42201" w:rsidRPr="00281428" w:rsidRDefault="00D42201" w:rsidP="001C7FB7">
            <w:pPr>
              <w:spacing w:before="240" w:after="60"/>
              <w:jc w:val="center"/>
              <w:rPr>
                <w:rFonts w:eastAsia="Times New Roman"/>
                <w:b/>
                <w:bCs/>
                <w:color w:val="000000"/>
                <w:u w:val="single"/>
              </w:rPr>
            </w:pPr>
            <w:r w:rsidRPr="00281428">
              <w:rPr>
                <w:rFonts w:eastAsia="Times New Roman"/>
                <w:b/>
                <w:bCs/>
                <w:color w:val="000000"/>
                <w:u w:val="single"/>
              </w:rPr>
              <w:t>Viscosity in Centipoise</w:t>
            </w:r>
          </w:p>
        </w:tc>
        <w:tc>
          <w:tcPr>
            <w:tcW w:w="1904" w:type="dxa"/>
            <w:tcBorders>
              <w:top w:val="nil"/>
              <w:left w:val="nil"/>
              <w:bottom w:val="single" w:sz="4" w:space="0" w:color="auto"/>
              <w:right w:val="single" w:sz="4" w:space="0" w:color="auto"/>
            </w:tcBorders>
            <w:shd w:val="clear" w:color="auto" w:fill="auto"/>
            <w:noWrap/>
            <w:vAlign w:val="center"/>
            <w:hideMark/>
          </w:tcPr>
          <w:p w14:paraId="4C36FAD5" w14:textId="77777777" w:rsidR="00D42201" w:rsidRPr="00281428" w:rsidRDefault="00D42201" w:rsidP="001C7FB7">
            <w:pPr>
              <w:spacing w:before="240" w:after="60"/>
              <w:jc w:val="center"/>
              <w:rPr>
                <w:rFonts w:eastAsia="Times New Roman"/>
                <w:b/>
                <w:bCs/>
                <w:color w:val="000000"/>
                <w:u w:val="single"/>
              </w:rPr>
            </w:pPr>
            <w:r w:rsidRPr="00281428">
              <w:rPr>
                <w:rFonts w:eastAsia="Times New Roman"/>
                <w:b/>
                <w:bCs/>
                <w:color w:val="000000"/>
                <w:u w:val="single"/>
              </w:rPr>
              <w:t>Correction</w:t>
            </w:r>
          </w:p>
        </w:tc>
      </w:tr>
      <w:tr w:rsidR="00D42201" w:rsidRPr="00281428" w14:paraId="5F9CDD66" w14:textId="77777777" w:rsidTr="00D42201">
        <w:trPr>
          <w:trHeight w:val="186"/>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11142AE2" w14:textId="77777777" w:rsidR="00D42201" w:rsidRPr="00281428" w:rsidRDefault="00D42201" w:rsidP="00F87AF9">
            <w:pPr>
              <w:spacing w:before="60" w:after="60"/>
              <w:rPr>
                <w:rFonts w:eastAsia="Times New Roman"/>
                <w:b/>
                <w:color w:val="000000"/>
                <w:u w:val="single"/>
              </w:rPr>
            </w:pPr>
            <w:r w:rsidRPr="00281428">
              <w:rPr>
                <w:rFonts w:eastAsia="Times New Roman"/>
                <w:b/>
                <w:color w:val="000000"/>
                <w:u w:val="single"/>
              </w:rPr>
              <w:t>Water</w:t>
            </w:r>
          </w:p>
        </w:tc>
        <w:tc>
          <w:tcPr>
            <w:tcW w:w="1894" w:type="dxa"/>
            <w:tcBorders>
              <w:top w:val="nil"/>
              <w:left w:val="nil"/>
              <w:bottom w:val="single" w:sz="4" w:space="0" w:color="auto"/>
              <w:right w:val="single" w:sz="4" w:space="0" w:color="auto"/>
            </w:tcBorders>
            <w:shd w:val="clear" w:color="auto" w:fill="auto"/>
            <w:vAlign w:val="center"/>
            <w:hideMark/>
          </w:tcPr>
          <w:p w14:paraId="4DBDE5DC"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1 cps</w:t>
            </w:r>
          </w:p>
        </w:tc>
        <w:tc>
          <w:tcPr>
            <w:tcW w:w="1904" w:type="dxa"/>
            <w:tcBorders>
              <w:top w:val="nil"/>
              <w:left w:val="nil"/>
              <w:bottom w:val="single" w:sz="4" w:space="0" w:color="auto"/>
              <w:right w:val="single" w:sz="4" w:space="0" w:color="auto"/>
            </w:tcBorders>
            <w:shd w:val="clear" w:color="auto" w:fill="D9D9D9" w:themeFill="background1" w:themeFillShade="D9"/>
            <w:noWrap/>
            <w:vAlign w:val="center"/>
            <w:hideMark/>
          </w:tcPr>
          <w:p w14:paraId="092806E3" w14:textId="77777777" w:rsidR="00D42201" w:rsidRPr="00281428" w:rsidRDefault="00D42201" w:rsidP="00F87AF9">
            <w:pPr>
              <w:spacing w:before="60" w:after="60"/>
              <w:jc w:val="center"/>
              <w:rPr>
                <w:rFonts w:eastAsia="Times New Roman"/>
                <w:b/>
                <w:color w:val="000000"/>
                <w:u w:val="single"/>
              </w:rPr>
            </w:pPr>
          </w:p>
        </w:tc>
      </w:tr>
      <w:tr w:rsidR="00D42201" w:rsidRPr="00281428" w14:paraId="2AF01763" w14:textId="77777777" w:rsidTr="00987872">
        <w:trPr>
          <w:trHeight w:val="186"/>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1FE66EF8"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Milk</w:t>
            </w:r>
          </w:p>
        </w:tc>
        <w:tc>
          <w:tcPr>
            <w:tcW w:w="1894" w:type="dxa"/>
            <w:tcBorders>
              <w:top w:val="nil"/>
              <w:left w:val="nil"/>
              <w:bottom w:val="single" w:sz="4" w:space="0" w:color="auto"/>
              <w:right w:val="single" w:sz="4" w:space="0" w:color="auto"/>
            </w:tcBorders>
            <w:shd w:val="clear" w:color="auto" w:fill="auto"/>
            <w:vAlign w:val="center"/>
            <w:hideMark/>
          </w:tcPr>
          <w:p w14:paraId="663BDC8F"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3 cps</w:t>
            </w:r>
          </w:p>
        </w:tc>
        <w:tc>
          <w:tcPr>
            <w:tcW w:w="1904" w:type="dxa"/>
            <w:tcBorders>
              <w:top w:val="nil"/>
              <w:left w:val="nil"/>
              <w:bottom w:val="single" w:sz="4" w:space="0" w:color="auto"/>
              <w:right w:val="single" w:sz="4" w:space="0" w:color="auto"/>
            </w:tcBorders>
            <w:shd w:val="clear" w:color="auto" w:fill="D9D9D9" w:themeFill="background1" w:themeFillShade="D9"/>
            <w:noWrap/>
            <w:vAlign w:val="center"/>
            <w:hideMark/>
          </w:tcPr>
          <w:p w14:paraId="21894A32" w14:textId="77777777" w:rsidR="00D42201" w:rsidRPr="00281428" w:rsidRDefault="00D42201" w:rsidP="00F87AF9">
            <w:pPr>
              <w:spacing w:before="60" w:after="60"/>
              <w:jc w:val="center"/>
              <w:rPr>
                <w:rFonts w:eastAsia="Times New Roman"/>
                <w:b/>
                <w:color w:val="000000"/>
                <w:u w:val="single"/>
              </w:rPr>
            </w:pPr>
          </w:p>
        </w:tc>
      </w:tr>
      <w:tr w:rsidR="00D42201" w:rsidRPr="00281428" w14:paraId="3825640A"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57BE05C8"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SAE 10 Motor Oil</w:t>
            </w:r>
          </w:p>
        </w:tc>
        <w:tc>
          <w:tcPr>
            <w:tcW w:w="1894" w:type="dxa"/>
            <w:tcBorders>
              <w:top w:val="nil"/>
              <w:left w:val="nil"/>
              <w:bottom w:val="single" w:sz="4" w:space="0" w:color="auto"/>
              <w:right w:val="single" w:sz="4" w:space="0" w:color="auto"/>
            </w:tcBorders>
            <w:shd w:val="clear" w:color="auto" w:fill="auto"/>
            <w:vAlign w:val="center"/>
            <w:hideMark/>
          </w:tcPr>
          <w:p w14:paraId="2FF0BB2D"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85–140 cps</w:t>
            </w:r>
          </w:p>
        </w:tc>
        <w:tc>
          <w:tcPr>
            <w:tcW w:w="1904" w:type="dxa"/>
            <w:tcBorders>
              <w:top w:val="nil"/>
              <w:left w:val="nil"/>
              <w:bottom w:val="single" w:sz="4" w:space="0" w:color="auto"/>
              <w:right w:val="single" w:sz="4" w:space="0" w:color="auto"/>
            </w:tcBorders>
            <w:shd w:val="clear" w:color="auto" w:fill="auto"/>
            <w:noWrap/>
            <w:vAlign w:val="center"/>
            <w:hideMark/>
          </w:tcPr>
          <w:p w14:paraId="414967F1"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0.0003</w:t>
            </w:r>
          </w:p>
        </w:tc>
      </w:tr>
      <w:tr w:rsidR="00D42201" w:rsidRPr="00281428" w14:paraId="71C26074"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0D7BA529"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SAE 20 Motor Oil</w:t>
            </w:r>
          </w:p>
        </w:tc>
        <w:tc>
          <w:tcPr>
            <w:tcW w:w="1894" w:type="dxa"/>
            <w:tcBorders>
              <w:top w:val="nil"/>
              <w:left w:val="nil"/>
              <w:bottom w:val="single" w:sz="4" w:space="0" w:color="auto"/>
              <w:right w:val="single" w:sz="4" w:space="0" w:color="auto"/>
            </w:tcBorders>
            <w:shd w:val="clear" w:color="auto" w:fill="auto"/>
            <w:vAlign w:val="center"/>
            <w:hideMark/>
          </w:tcPr>
          <w:p w14:paraId="5B7BBAFC"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140–420 cps</w:t>
            </w:r>
          </w:p>
        </w:tc>
        <w:tc>
          <w:tcPr>
            <w:tcW w:w="1904" w:type="dxa"/>
            <w:tcBorders>
              <w:top w:val="nil"/>
              <w:left w:val="nil"/>
              <w:bottom w:val="single" w:sz="4" w:space="0" w:color="auto"/>
              <w:right w:val="single" w:sz="4" w:space="0" w:color="auto"/>
            </w:tcBorders>
            <w:shd w:val="clear" w:color="auto" w:fill="auto"/>
            <w:noWrap/>
            <w:vAlign w:val="center"/>
            <w:hideMark/>
          </w:tcPr>
          <w:p w14:paraId="34C12C04"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0.0006</w:t>
            </w:r>
          </w:p>
        </w:tc>
      </w:tr>
      <w:tr w:rsidR="00D42201" w:rsidRPr="00281428" w14:paraId="3151C4DE"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48FB3B86"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SAE 30 Motor Oil</w:t>
            </w:r>
          </w:p>
        </w:tc>
        <w:tc>
          <w:tcPr>
            <w:tcW w:w="1894" w:type="dxa"/>
            <w:tcBorders>
              <w:top w:val="nil"/>
              <w:left w:val="nil"/>
              <w:bottom w:val="single" w:sz="4" w:space="0" w:color="auto"/>
              <w:right w:val="single" w:sz="4" w:space="0" w:color="auto"/>
            </w:tcBorders>
            <w:shd w:val="clear" w:color="auto" w:fill="auto"/>
            <w:vAlign w:val="center"/>
            <w:hideMark/>
          </w:tcPr>
          <w:p w14:paraId="69276768"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420–650 cps</w:t>
            </w:r>
          </w:p>
        </w:tc>
        <w:tc>
          <w:tcPr>
            <w:tcW w:w="1904" w:type="dxa"/>
            <w:tcBorders>
              <w:top w:val="nil"/>
              <w:left w:val="nil"/>
              <w:bottom w:val="single" w:sz="4" w:space="0" w:color="auto"/>
              <w:right w:val="single" w:sz="4" w:space="0" w:color="auto"/>
            </w:tcBorders>
            <w:shd w:val="clear" w:color="auto" w:fill="auto"/>
            <w:noWrap/>
            <w:vAlign w:val="center"/>
            <w:hideMark/>
          </w:tcPr>
          <w:p w14:paraId="27B6F7EB"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0.0007</w:t>
            </w:r>
          </w:p>
        </w:tc>
      </w:tr>
      <w:tr w:rsidR="00D42201" w:rsidRPr="00281428" w14:paraId="75734E9F"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28FA51F7"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lastRenderedPageBreak/>
              <w:t>SAE 40 Motor Oil</w:t>
            </w:r>
          </w:p>
        </w:tc>
        <w:tc>
          <w:tcPr>
            <w:tcW w:w="1894" w:type="dxa"/>
            <w:tcBorders>
              <w:top w:val="nil"/>
              <w:left w:val="nil"/>
              <w:bottom w:val="single" w:sz="4" w:space="0" w:color="auto"/>
              <w:right w:val="single" w:sz="4" w:space="0" w:color="auto"/>
            </w:tcBorders>
            <w:shd w:val="clear" w:color="auto" w:fill="auto"/>
            <w:vAlign w:val="center"/>
            <w:hideMark/>
          </w:tcPr>
          <w:p w14:paraId="262737FD"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650–900 cps</w:t>
            </w:r>
          </w:p>
        </w:tc>
        <w:tc>
          <w:tcPr>
            <w:tcW w:w="1904" w:type="dxa"/>
            <w:tcBorders>
              <w:top w:val="nil"/>
              <w:left w:val="nil"/>
              <w:bottom w:val="single" w:sz="4" w:space="0" w:color="auto"/>
              <w:right w:val="single" w:sz="4" w:space="0" w:color="auto"/>
            </w:tcBorders>
            <w:shd w:val="clear" w:color="auto" w:fill="auto"/>
            <w:noWrap/>
            <w:vAlign w:val="center"/>
            <w:hideMark/>
          </w:tcPr>
          <w:p w14:paraId="499BB4C9"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0.0007</w:t>
            </w:r>
          </w:p>
        </w:tc>
      </w:tr>
      <w:tr w:rsidR="00D42201" w:rsidRPr="00281428" w14:paraId="2BFFCA59"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639C0E2A"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Castrol Oil</w:t>
            </w:r>
          </w:p>
        </w:tc>
        <w:tc>
          <w:tcPr>
            <w:tcW w:w="1894" w:type="dxa"/>
            <w:tcBorders>
              <w:top w:val="nil"/>
              <w:left w:val="nil"/>
              <w:bottom w:val="single" w:sz="4" w:space="0" w:color="auto"/>
              <w:right w:val="single" w:sz="4" w:space="0" w:color="auto"/>
            </w:tcBorders>
            <w:shd w:val="clear" w:color="auto" w:fill="auto"/>
            <w:vAlign w:val="center"/>
            <w:hideMark/>
          </w:tcPr>
          <w:p w14:paraId="74D84A61"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1,000 cps</w:t>
            </w:r>
          </w:p>
        </w:tc>
        <w:tc>
          <w:tcPr>
            <w:tcW w:w="1904" w:type="dxa"/>
            <w:tcBorders>
              <w:top w:val="nil"/>
              <w:left w:val="nil"/>
              <w:bottom w:val="single" w:sz="4" w:space="0" w:color="auto"/>
              <w:right w:val="single" w:sz="4" w:space="0" w:color="auto"/>
            </w:tcBorders>
            <w:shd w:val="clear" w:color="auto" w:fill="auto"/>
            <w:noWrap/>
            <w:vAlign w:val="center"/>
            <w:hideMark/>
          </w:tcPr>
          <w:p w14:paraId="28AA6560"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0.0008</w:t>
            </w:r>
          </w:p>
        </w:tc>
      </w:tr>
      <w:tr w:rsidR="00D42201" w:rsidRPr="00281428" w14:paraId="06BCEBF0"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0F029433" w14:textId="77777777" w:rsidR="00D42201" w:rsidRPr="00281428" w:rsidRDefault="00D42201" w:rsidP="001C7FB7">
            <w:pPr>
              <w:spacing w:before="240" w:after="60"/>
              <w:jc w:val="left"/>
              <w:rPr>
                <w:rFonts w:eastAsia="Times New Roman"/>
                <w:b/>
                <w:color w:val="000000"/>
                <w:u w:val="single"/>
              </w:rPr>
            </w:pPr>
            <w:r w:rsidRPr="00281428">
              <w:rPr>
                <w:rFonts w:eastAsia="Times New Roman"/>
                <w:b/>
                <w:color w:val="000000"/>
                <w:u w:val="single"/>
              </w:rPr>
              <w:t>Karo Syrup</w:t>
            </w:r>
          </w:p>
        </w:tc>
        <w:tc>
          <w:tcPr>
            <w:tcW w:w="1894" w:type="dxa"/>
            <w:tcBorders>
              <w:top w:val="nil"/>
              <w:left w:val="nil"/>
              <w:bottom w:val="single" w:sz="4" w:space="0" w:color="auto"/>
              <w:right w:val="single" w:sz="4" w:space="0" w:color="auto"/>
            </w:tcBorders>
            <w:shd w:val="clear" w:color="auto" w:fill="auto"/>
            <w:vAlign w:val="center"/>
            <w:hideMark/>
          </w:tcPr>
          <w:p w14:paraId="70FC1029" w14:textId="77777777" w:rsidR="00D42201" w:rsidRPr="00281428" w:rsidRDefault="00D42201" w:rsidP="001C7FB7">
            <w:pPr>
              <w:spacing w:before="240" w:after="60"/>
              <w:jc w:val="center"/>
              <w:rPr>
                <w:rFonts w:eastAsia="Times New Roman"/>
                <w:b/>
                <w:color w:val="000000"/>
                <w:u w:val="single"/>
              </w:rPr>
            </w:pPr>
            <w:r w:rsidRPr="00281428">
              <w:rPr>
                <w:rFonts w:eastAsia="Times New Roman"/>
                <w:b/>
                <w:color w:val="000000"/>
                <w:u w:val="single"/>
              </w:rPr>
              <w:t>5,000 cps</w:t>
            </w:r>
          </w:p>
        </w:tc>
        <w:tc>
          <w:tcPr>
            <w:tcW w:w="1904" w:type="dxa"/>
            <w:tcBorders>
              <w:top w:val="nil"/>
              <w:left w:val="nil"/>
              <w:bottom w:val="single" w:sz="4" w:space="0" w:color="auto"/>
              <w:right w:val="single" w:sz="4" w:space="0" w:color="auto"/>
            </w:tcBorders>
            <w:shd w:val="clear" w:color="auto" w:fill="auto"/>
            <w:noWrap/>
            <w:vAlign w:val="center"/>
            <w:hideMark/>
          </w:tcPr>
          <w:p w14:paraId="1104F879" w14:textId="77777777" w:rsidR="00D42201" w:rsidRPr="00281428" w:rsidRDefault="00D42201" w:rsidP="001C7FB7">
            <w:pPr>
              <w:spacing w:before="240" w:after="60"/>
              <w:jc w:val="center"/>
              <w:rPr>
                <w:rFonts w:eastAsia="Times New Roman"/>
                <w:b/>
                <w:color w:val="000000"/>
                <w:u w:val="single"/>
              </w:rPr>
            </w:pPr>
            <w:r w:rsidRPr="00281428">
              <w:rPr>
                <w:rFonts w:eastAsia="Times New Roman"/>
                <w:b/>
                <w:color w:val="000000"/>
                <w:u w:val="single"/>
              </w:rPr>
              <w:t>0.0008</w:t>
            </w:r>
          </w:p>
        </w:tc>
      </w:tr>
      <w:tr w:rsidR="00D42201" w:rsidRPr="00281428" w14:paraId="6CE8FBF0"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18B40F96"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Honey</w:t>
            </w:r>
          </w:p>
        </w:tc>
        <w:tc>
          <w:tcPr>
            <w:tcW w:w="1894" w:type="dxa"/>
            <w:tcBorders>
              <w:top w:val="nil"/>
              <w:left w:val="nil"/>
              <w:bottom w:val="single" w:sz="4" w:space="0" w:color="auto"/>
              <w:right w:val="single" w:sz="4" w:space="0" w:color="auto"/>
            </w:tcBorders>
            <w:shd w:val="clear" w:color="auto" w:fill="auto"/>
            <w:vAlign w:val="center"/>
            <w:hideMark/>
          </w:tcPr>
          <w:p w14:paraId="4EC6A636"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10,000 cps</w:t>
            </w:r>
          </w:p>
        </w:tc>
        <w:tc>
          <w:tcPr>
            <w:tcW w:w="1904" w:type="dxa"/>
            <w:tcBorders>
              <w:top w:val="nil"/>
              <w:left w:val="nil"/>
              <w:bottom w:val="single" w:sz="4" w:space="0" w:color="auto"/>
              <w:right w:val="single" w:sz="4" w:space="0" w:color="auto"/>
            </w:tcBorders>
            <w:shd w:val="clear" w:color="auto" w:fill="auto"/>
            <w:noWrap/>
            <w:vAlign w:val="center"/>
            <w:hideMark/>
          </w:tcPr>
          <w:p w14:paraId="35E352B7"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0.00085</w:t>
            </w:r>
          </w:p>
        </w:tc>
      </w:tr>
      <w:tr w:rsidR="00D42201" w:rsidRPr="00281428" w14:paraId="05139F10"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41160EA3"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Chocolate</w:t>
            </w:r>
          </w:p>
        </w:tc>
        <w:tc>
          <w:tcPr>
            <w:tcW w:w="1894" w:type="dxa"/>
            <w:tcBorders>
              <w:top w:val="nil"/>
              <w:left w:val="nil"/>
              <w:bottom w:val="single" w:sz="4" w:space="0" w:color="auto"/>
              <w:right w:val="single" w:sz="4" w:space="0" w:color="auto"/>
            </w:tcBorders>
            <w:shd w:val="clear" w:color="auto" w:fill="auto"/>
            <w:vAlign w:val="center"/>
            <w:hideMark/>
          </w:tcPr>
          <w:p w14:paraId="063C6526"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25,000 cps</w:t>
            </w:r>
          </w:p>
        </w:tc>
        <w:tc>
          <w:tcPr>
            <w:tcW w:w="1904" w:type="dxa"/>
            <w:tcBorders>
              <w:top w:val="nil"/>
              <w:left w:val="nil"/>
              <w:bottom w:val="single" w:sz="4" w:space="0" w:color="auto"/>
              <w:right w:val="single" w:sz="4" w:space="0" w:color="auto"/>
            </w:tcBorders>
            <w:shd w:val="clear" w:color="auto" w:fill="auto"/>
            <w:noWrap/>
            <w:vAlign w:val="center"/>
            <w:hideMark/>
          </w:tcPr>
          <w:p w14:paraId="560125CA"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0.0009</w:t>
            </w:r>
          </w:p>
        </w:tc>
      </w:tr>
      <w:tr w:rsidR="00D42201" w:rsidRPr="00281428" w14:paraId="405A8F4B"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5CC9D2C5"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Ketchup</w:t>
            </w:r>
          </w:p>
        </w:tc>
        <w:tc>
          <w:tcPr>
            <w:tcW w:w="1894" w:type="dxa"/>
            <w:tcBorders>
              <w:top w:val="nil"/>
              <w:left w:val="nil"/>
              <w:bottom w:val="single" w:sz="4" w:space="0" w:color="auto"/>
              <w:right w:val="single" w:sz="4" w:space="0" w:color="auto"/>
            </w:tcBorders>
            <w:shd w:val="clear" w:color="auto" w:fill="auto"/>
            <w:vAlign w:val="center"/>
            <w:hideMark/>
          </w:tcPr>
          <w:p w14:paraId="45A7C4FB"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50,000 cps</w:t>
            </w:r>
          </w:p>
        </w:tc>
        <w:tc>
          <w:tcPr>
            <w:tcW w:w="1904" w:type="dxa"/>
            <w:tcBorders>
              <w:top w:val="nil"/>
              <w:left w:val="nil"/>
              <w:bottom w:val="single" w:sz="4" w:space="0" w:color="auto"/>
              <w:right w:val="single" w:sz="4" w:space="0" w:color="auto"/>
            </w:tcBorders>
            <w:shd w:val="clear" w:color="auto" w:fill="auto"/>
            <w:noWrap/>
            <w:vAlign w:val="center"/>
            <w:hideMark/>
          </w:tcPr>
          <w:p w14:paraId="503C9CDC"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0.0009</w:t>
            </w:r>
          </w:p>
        </w:tc>
      </w:tr>
      <w:tr w:rsidR="00D42201" w:rsidRPr="00281428" w14:paraId="03B62C1E"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6D38153F"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Mustard</w:t>
            </w:r>
          </w:p>
        </w:tc>
        <w:tc>
          <w:tcPr>
            <w:tcW w:w="1894" w:type="dxa"/>
            <w:tcBorders>
              <w:top w:val="nil"/>
              <w:left w:val="nil"/>
              <w:bottom w:val="single" w:sz="4" w:space="0" w:color="auto"/>
              <w:right w:val="single" w:sz="4" w:space="0" w:color="auto"/>
            </w:tcBorders>
            <w:shd w:val="clear" w:color="auto" w:fill="auto"/>
            <w:vAlign w:val="center"/>
            <w:hideMark/>
          </w:tcPr>
          <w:p w14:paraId="1B940C66"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70,000 cps</w:t>
            </w:r>
          </w:p>
        </w:tc>
        <w:tc>
          <w:tcPr>
            <w:tcW w:w="1904" w:type="dxa"/>
            <w:tcBorders>
              <w:top w:val="nil"/>
              <w:left w:val="nil"/>
              <w:bottom w:val="single" w:sz="4" w:space="0" w:color="auto"/>
              <w:right w:val="single" w:sz="4" w:space="0" w:color="auto"/>
            </w:tcBorders>
            <w:shd w:val="clear" w:color="auto" w:fill="auto"/>
            <w:noWrap/>
            <w:vAlign w:val="center"/>
            <w:hideMark/>
          </w:tcPr>
          <w:p w14:paraId="19AC57EF"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0.0009</w:t>
            </w:r>
          </w:p>
        </w:tc>
      </w:tr>
      <w:tr w:rsidR="00D42201" w:rsidRPr="00281428" w14:paraId="242BB3A9"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7EC72887"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Sour Cream</w:t>
            </w:r>
          </w:p>
        </w:tc>
        <w:tc>
          <w:tcPr>
            <w:tcW w:w="1894" w:type="dxa"/>
            <w:tcBorders>
              <w:top w:val="nil"/>
              <w:left w:val="nil"/>
              <w:bottom w:val="single" w:sz="4" w:space="0" w:color="auto"/>
              <w:right w:val="single" w:sz="4" w:space="0" w:color="auto"/>
            </w:tcBorders>
            <w:shd w:val="clear" w:color="auto" w:fill="auto"/>
            <w:vAlign w:val="center"/>
            <w:hideMark/>
          </w:tcPr>
          <w:p w14:paraId="396AB4A3"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100,000 cps</w:t>
            </w:r>
          </w:p>
        </w:tc>
        <w:tc>
          <w:tcPr>
            <w:tcW w:w="1904" w:type="dxa"/>
            <w:tcBorders>
              <w:top w:val="nil"/>
              <w:left w:val="nil"/>
              <w:bottom w:val="single" w:sz="4" w:space="0" w:color="auto"/>
              <w:right w:val="single" w:sz="4" w:space="0" w:color="auto"/>
            </w:tcBorders>
            <w:shd w:val="clear" w:color="auto" w:fill="auto"/>
            <w:noWrap/>
            <w:vAlign w:val="center"/>
            <w:hideMark/>
          </w:tcPr>
          <w:p w14:paraId="4DA092C7"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0.0009</w:t>
            </w:r>
          </w:p>
        </w:tc>
      </w:tr>
      <w:tr w:rsidR="00D42201" w:rsidRPr="00281428" w14:paraId="68CFEB47" w14:textId="77777777" w:rsidTr="00987872">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3B982C4B" w14:textId="77777777" w:rsidR="00D42201" w:rsidRPr="00281428" w:rsidRDefault="00D42201" w:rsidP="00F87AF9">
            <w:pPr>
              <w:spacing w:before="60" w:after="60"/>
              <w:jc w:val="left"/>
              <w:rPr>
                <w:rFonts w:eastAsia="Times New Roman"/>
                <w:b/>
                <w:color w:val="000000"/>
                <w:u w:val="single"/>
              </w:rPr>
            </w:pPr>
            <w:r w:rsidRPr="00281428">
              <w:rPr>
                <w:rFonts w:eastAsia="Times New Roman"/>
                <w:b/>
                <w:color w:val="000000"/>
                <w:u w:val="single"/>
              </w:rPr>
              <w:t>Peanut Butter</w:t>
            </w:r>
          </w:p>
        </w:tc>
        <w:tc>
          <w:tcPr>
            <w:tcW w:w="1894" w:type="dxa"/>
            <w:tcBorders>
              <w:top w:val="nil"/>
              <w:left w:val="nil"/>
              <w:bottom w:val="single" w:sz="4" w:space="0" w:color="auto"/>
              <w:right w:val="single" w:sz="4" w:space="0" w:color="auto"/>
            </w:tcBorders>
            <w:shd w:val="clear" w:color="auto" w:fill="auto"/>
            <w:vAlign w:val="bottom"/>
            <w:hideMark/>
          </w:tcPr>
          <w:p w14:paraId="57E8012D" w14:textId="77777777" w:rsidR="00D42201" w:rsidRPr="00281428" w:rsidRDefault="00D42201" w:rsidP="00F87AF9">
            <w:pPr>
              <w:spacing w:before="60" w:after="60"/>
              <w:jc w:val="center"/>
              <w:rPr>
                <w:rFonts w:eastAsia="Times New Roman"/>
                <w:b/>
                <w:color w:val="000000"/>
                <w:u w:val="single"/>
              </w:rPr>
            </w:pPr>
            <w:r w:rsidRPr="00281428">
              <w:rPr>
                <w:rFonts w:eastAsia="Times New Roman"/>
                <w:b/>
                <w:color w:val="000000"/>
                <w:u w:val="single"/>
              </w:rPr>
              <w:t>250,000 cps</w:t>
            </w:r>
          </w:p>
        </w:tc>
        <w:tc>
          <w:tcPr>
            <w:tcW w:w="1904" w:type="dxa"/>
            <w:tcBorders>
              <w:top w:val="nil"/>
              <w:left w:val="nil"/>
              <w:bottom w:val="single" w:sz="4" w:space="0" w:color="auto"/>
              <w:right w:val="single" w:sz="4" w:space="0" w:color="auto"/>
            </w:tcBorders>
            <w:shd w:val="clear" w:color="auto" w:fill="D9D9D9" w:themeFill="background1" w:themeFillShade="D9"/>
            <w:noWrap/>
            <w:vAlign w:val="bottom"/>
            <w:hideMark/>
          </w:tcPr>
          <w:p w14:paraId="7A820392" w14:textId="1A093AC1" w:rsidR="00D42201" w:rsidRPr="00281428" w:rsidRDefault="00D42201" w:rsidP="00F87AF9">
            <w:pPr>
              <w:spacing w:before="60" w:after="60"/>
              <w:rPr>
                <w:rFonts w:eastAsia="Times New Roman"/>
                <w:b/>
                <w:color w:val="000000"/>
                <w:u w:val="single"/>
              </w:rPr>
            </w:pPr>
          </w:p>
        </w:tc>
      </w:tr>
    </w:tbl>
    <w:p w14:paraId="19DF4227" w14:textId="22511065" w:rsidR="00F837E2" w:rsidRPr="00281428" w:rsidRDefault="00F837E2" w:rsidP="005649B8">
      <w:pPr>
        <w:spacing w:before="240"/>
        <w:rPr>
          <w:b/>
          <w:u w:val="single"/>
        </w:rPr>
      </w:pPr>
      <w:r w:rsidRPr="00281428">
        <w:rPr>
          <w:b/>
          <w:u w:val="single"/>
        </w:rPr>
        <w:t>Anton Paar DMA 35 Instrument Manual page 54</w:t>
      </w:r>
    </w:p>
    <w:p w14:paraId="24F99BF9" w14:textId="77777777" w:rsidR="00F837E2" w:rsidRPr="00281428" w:rsidRDefault="00F837E2" w:rsidP="00683FFD">
      <w:pPr>
        <w:spacing w:after="0"/>
        <w:contextualSpacing/>
        <w:rPr>
          <w:b/>
          <w:u w:val="single"/>
        </w:rPr>
      </w:pPr>
      <w:r w:rsidRPr="00281428">
        <w:rPr>
          <w:b/>
          <w:u w:val="single"/>
        </w:rPr>
        <w:t>*Do not introduce ethanol or other alcohols into instrument without first flushing all milk products from instruments.</w:t>
      </w:r>
    </w:p>
    <w:p w14:paraId="16E17614" w14:textId="77777777" w:rsidR="00F837E2" w:rsidRPr="00281428" w:rsidRDefault="00F837E2" w:rsidP="009E3338">
      <w:pPr>
        <w:spacing w:before="240"/>
        <w:ind w:left="720"/>
        <w:rPr>
          <w:b/>
          <w:u w:val="single"/>
        </w:rPr>
      </w:pPr>
      <w:r w:rsidRPr="00281428">
        <w:rPr>
          <w:b/>
          <w:u w:val="single"/>
        </w:rPr>
        <w:t>3.X.3.</w:t>
      </w:r>
      <w:r w:rsidRPr="00281428">
        <w:rPr>
          <w:b/>
          <w:u w:val="single"/>
        </w:rPr>
        <w:tab/>
        <w:t>Evaluation of Results</w:t>
      </w:r>
    </w:p>
    <w:p w14:paraId="627B8FD7" w14:textId="77777777" w:rsidR="00F837E2" w:rsidRPr="00281428" w:rsidRDefault="00F837E2" w:rsidP="009E3338">
      <w:pPr>
        <w:ind w:left="720"/>
        <w:rPr>
          <w:b/>
          <w:u w:val="single"/>
        </w:rPr>
      </w:pPr>
      <w:r w:rsidRPr="00281428">
        <w:rPr>
          <w:b/>
          <w:u w:val="single"/>
        </w:rPr>
        <w:t>Follow the procedures in Section 2.3.7. “Evaluate for Compliance” to determine lot conformance.</w:t>
      </w:r>
    </w:p>
    <w:tbl>
      <w:tblPr>
        <w:tblpPr w:leftFromText="187" w:rightFromText="187" w:vertAnchor="text" w:horzAnchor="margin" w:tblpXSpec="center" w:tblpY="1"/>
        <w:tblOverlap w:val="never"/>
        <w:tblW w:w="8815" w:type="dxa"/>
        <w:tblCellMar>
          <w:left w:w="0" w:type="dxa"/>
          <w:right w:w="0" w:type="dxa"/>
        </w:tblCellMar>
        <w:tblLook w:val="04A0" w:firstRow="1" w:lastRow="0" w:firstColumn="1" w:lastColumn="0" w:noHBand="0" w:noVBand="1"/>
        <w:tblCaption w:val="Table Cleaning Agents"/>
        <w:tblDescription w:val="Table that list cleaning agents"/>
      </w:tblPr>
      <w:tblGrid>
        <w:gridCol w:w="2585"/>
        <w:gridCol w:w="2760"/>
        <w:gridCol w:w="3470"/>
      </w:tblGrid>
      <w:tr w:rsidR="00D42201" w:rsidRPr="00281428" w14:paraId="55F6D8D7" w14:textId="77777777" w:rsidTr="009E3338">
        <w:trPr>
          <w:trHeight w:val="300"/>
        </w:trPr>
        <w:tc>
          <w:tcPr>
            <w:tcW w:w="881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4561880" w14:textId="77777777" w:rsidR="00D42201" w:rsidRPr="00281428" w:rsidRDefault="00D42201" w:rsidP="005649B8">
            <w:pPr>
              <w:spacing w:before="60" w:after="60"/>
              <w:jc w:val="center"/>
              <w:rPr>
                <w:b/>
                <w:bCs/>
                <w:color w:val="000000"/>
                <w:u w:val="single"/>
              </w:rPr>
            </w:pPr>
            <w:r w:rsidRPr="00281428">
              <w:rPr>
                <w:b/>
                <w:bCs/>
                <w:color w:val="000000"/>
                <w:u w:val="single"/>
              </w:rPr>
              <w:t>Table X.X. Cleaning Agents</w:t>
            </w:r>
          </w:p>
        </w:tc>
      </w:tr>
      <w:tr w:rsidR="00D42201" w:rsidRPr="00281428" w14:paraId="6BFD7062" w14:textId="77777777" w:rsidTr="009E3338">
        <w:trPr>
          <w:trHeight w:val="300"/>
        </w:trPr>
        <w:tc>
          <w:tcPr>
            <w:tcW w:w="25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990FC" w14:textId="77777777" w:rsidR="00D42201" w:rsidRPr="00281428" w:rsidRDefault="00D42201" w:rsidP="005649B8">
            <w:pPr>
              <w:spacing w:before="60" w:after="60"/>
              <w:jc w:val="center"/>
              <w:rPr>
                <w:b/>
                <w:bCs/>
                <w:color w:val="000000"/>
                <w:u w:val="single"/>
              </w:rPr>
            </w:pPr>
            <w:r w:rsidRPr="00281428">
              <w:rPr>
                <w:b/>
                <w:bCs/>
                <w:color w:val="000000"/>
                <w:u w:val="single"/>
              </w:rPr>
              <w:t>Commodity</w:t>
            </w:r>
          </w:p>
        </w:tc>
        <w:tc>
          <w:tcPr>
            <w:tcW w:w="27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C0E6F" w14:textId="77777777" w:rsidR="00D42201" w:rsidRPr="00281428" w:rsidRDefault="00D42201" w:rsidP="005649B8">
            <w:pPr>
              <w:spacing w:before="60" w:after="60"/>
              <w:jc w:val="center"/>
              <w:rPr>
                <w:b/>
                <w:bCs/>
                <w:color w:val="000000"/>
                <w:u w:val="single"/>
              </w:rPr>
            </w:pPr>
            <w:r w:rsidRPr="00281428">
              <w:rPr>
                <w:b/>
                <w:bCs/>
                <w:color w:val="000000"/>
                <w:u w:val="single"/>
              </w:rPr>
              <w:t>Cleaning Liquid 1</w:t>
            </w:r>
          </w:p>
        </w:tc>
        <w:tc>
          <w:tcPr>
            <w:tcW w:w="34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2679B" w14:textId="77777777" w:rsidR="00D42201" w:rsidRPr="00281428" w:rsidRDefault="00D42201" w:rsidP="005649B8">
            <w:pPr>
              <w:spacing w:before="60" w:after="60"/>
              <w:jc w:val="center"/>
              <w:rPr>
                <w:b/>
                <w:bCs/>
                <w:color w:val="000000"/>
                <w:u w:val="single"/>
              </w:rPr>
            </w:pPr>
            <w:r w:rsidRPr="00281428">
              <w:rPr>
                <w:b/>
                <w:bCs/>
                <w:color w:val="000000"/>
                <w:u w:val="single"/>
              </w:rPr>
              <w:t>Cleaning Liquid 2</w:t>
            </w:r>
          </w:p>
        </w:tc>
      </w:tr>
      <w:tr w:rsidR="00D42201" w:rsidRPr="00281428" w14:paraId="24B4F4CB" w14:textId="77777777" w:rsidTr="009E3338">
        <w:tc>
          <w:tcPr>
            <w:tcW w:w="2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CD5FF3" w14:textId="77777777" w:rsidR="00D42201" w:rsidRPr="00281428" w:rsidRDefault="00D42201" w:rsidP="005649B8">
            <w:pPr>
              <w:spacing w:before="60" w:after="60"/>
              <w:rPr>
                <w:b/>
                <w:color w:val="000000"/>
                <w:u w:val="single"/>
              </w:rPr>
            </w:pPr>
            <w:r w:rsidRPr="00281428">
              <w:rPr>
                <w:b/>
                <w:color w:val="000000"/>
                <w:u w:val="single"/>
              </w:rPr>
              <w:t>Petroleum products</w:t>
            </w:r>
          </w:p>
        </w:tc>
        <w:tc>
          <w:tcPr>
            <w:tcW w:w="2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E6F354" w14:textId="77777777" w:rsidR="00D42201" w:rsidRPr="00281428" w:rsidRDefault="00D42201" w:rsidP="005649B8">
            <w:pPr>
              <w:spacing w:before="60" w:after="60"/>
              <w:jc w:val="center"/>
              <w:rPr>
                <w:b/>
                <w:color w:val="000000"/>
                <w:u w:val="single"/>
              </w:rPr>
            </w:pPr>
            <w:r w:rsidRPr="00281428">
              <w:rPr>
                <w:b/>
                <w:color w:val="000000"/>
                <w:u w:val="single"/>
              </w:rPr>
              <w:t>Toluene, petroleum naptha, petroleum ether, n-nonane, cyclohexane</w:t>
            </w:r>
          </w:p>
        </w:tc>
        <w:tc>
          <w:tcPr>
            <w:tcW w:w="3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18F59" w14:textId="77777777" w:rsidR="00D42201" w:rsidRPr="00281428" w:rsidRDefault="00D42201" w:rsidP="005649B8">
            <w:pPr>
              <w:spacing w:before="60" w:after="60"/>
              <w:jc w:val="center"/>
              <w:rPr>
                <w:b/>
                <w:color w:val="000000"/>
                <w:u w:val="single"/>
              </w:rPr>
            </w:pPr>
            <w:r w:rsidRPr="00281428">
              <w:rPr>
                <w:b/>
                <w:color w:val="000000"/>
                <w:u w:val="single"/>
              </w:rPr>
              <w:t>Ethanol</w:t>
            </w:r>
          </w:p>
        </w:tc>
      </w:tr>
      <w:tr w:rsidR="00D42201" w:rsidRPr="00281428" w14:paraId="0DF3F837" w14:textId="77777777" w:rsidTr="009E3338">
        <w:tc>
          <w:tcPr>
            <w:tcW w:w="2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FD0B5" w14:textId="77777777" w:rsidR="00D42201" w:rsidRPr="00281428" w:rsidRDefault="00D42201" w:rsidP="005649B8">
            <w:pPr>
              <w:spacing w:before="60" w:after="60"/>
              <w:rPr>
                <w:b/>
                <w:color w:val="000000"/>
                <w:u w:val="single"/>
              </w:rPr>
            </w:pPr>
            <w:r w:rsidRPr="00281428">
              <w:rPr>
                <w:b/>
                <w:color w:val="000000"/>
                <w:u w:val="single"/>
              </w:rPr>
              <w:t>Battery acid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69C19" w14:textId="77777777" w:rsidR="00D42201" w:rsidRPr="00281428" w:rsidRDefault="00D42201" w:rsidP="005649B8">
            <w:pPr>
              <w:spacing w:before="60" w:after="60"/>
              <w:jc w:val="center"/>
              <w:rPr>
                <w:b/>
                <w:color w:val="000000"/>
                <w:u w:val="single"/>
              </w:rPr>
            </w:pPr>
            <w:r w:rsidRPr="00281428">
              <w:rPr>
                <w:b/>
                <w:color w:val="000000"/>
                <w:u w:val="single"/>
              </w:rPr>
              <w:t>Tap water</w:t>
            </w:r>
          </w:p>
        </w:tc>
        <w:tc>
          <w:tcPr>
            <w:tcW w:w="3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EF5DF3" w14:textId="77777777" w:rsidR="00D42201" w:rsidRPr="00281428" w:rsidRDefault="00D42201" w:rsidP="005649B8">
            <w:pPr>
              <w:spacing w:before="60" w:after="60"/>
              <w:jc w:val="center"/>
              <w:rPr>
                <w:b/>
                <w:color w:val="000000"/>
                <w:u w:val="single"/>
              </w:rPr>
            </w:pPr>
            <w:r w:rsidRPr="00281428">
              <w:rPr>
                <w:b/>
                <w:color w:val="000000"/>
                <w:u w:val="single"/>
              </w:rPr>
              <w:t>Ultra-pre (bi-distilled or deionized) water</w:t>
            </w:r>
          </w:p>
        </w:tc>
      </w:tr>
      <w:tr w:rsidR="00D42201" w:rsidRPr="00281428" w14:paraId="7F4F5E3D" w14:textId="77777777" w:rsidTr="009E3338">
        <w:tc>
          <w:tcPr>
            <w:tcW w:w="25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860DA6" w14:textId="77777777" w:rsidR="00D42201" w:rsidRPr="00281428" w:rsidRDefault="00D42201" w:rsidP="005649B8">
            <w:pPr>
              <w:spacing w:before="60" w:after="60"/>
              <w:rPr>
                <w:b/>
                <w:color w:val="000000"/>
                <w:u w:val="single"/>
              </w:rPr>
            </w:pPr>
            <w:r w:rsidRPr="00281428">
              <w:rPr>
                <w:b/>
                <w:color w:val="000000"/>
                <w:u w:val="single"/>
              </w:rPr>
              <w:t>Liquid soap &amp; detergent, shampoo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697EF" w14:textId="77777777" w:rsidR="00D42201" w:rsidRPr="00281428" w:rsidRDefault="00D42201" w:rsidP="005649B8">
            <w:pPr>
              <w:spacing w:before="60" w:after="60"/>
              <w:jc w:val="center"/>
              <w:rPr>
                <w:b/>
                <w:color w:val="000000"/>
                <w:u w:val="single"/>
              </w:rPr>
            </w:pPr>
            <w:r w:rsidRPr="00281428">
              <w:rPr>
                <w:b/>
                <w:color w:val="000000"/>
                <w:u w:val="single"/>
              </w:rPr>
              <w:t>Tap water</w:t>
            </w:r>
          </w:p>
        </w:tc>
        <w:tc>
          <w:tcPr>
            <w:tcW w:w="3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BF849D" w14:textId="77777777" w:rsidR="00D42201" w:rsidRPr="00281428" w:rsidRDefault="00D42201" w:rsidP="005649B8">
            <w:pPr>
              <w:spacing w:before="60" w:after="60"/>
              <w:jc w:val="center"/>
              <w:rPr>
                <w:b/>
                <w:color w:val="000000"/>
                <w:u w:val="single"/>
              </w:rPr>
            </w:pPr>
            <w:r w:rsidRPr="00281428">
              <w:rPr>
                <w:b/>
                <w:color w:val="000000"/>
                <w:u w:val="single"/>
              </w:rPr>
              <w:t>Ultra-pre (bi-distilled or deionized) water</w:t>
            </w:r>
          </w:p>
        </w:tc>
      </w:tr>
      <w:tr w:rsidR="00D42201" w:rsidRPr="00281428" w14:paraId="320E4C97" w14:textId="77777777" w:rsidTr="009E3338">
        <w:tc>
          <w:tcPr>
            <w:tcW w:w="25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DF36E2" w14:textId="77777777" w:rsidR="00D42201" w:rsidRPr="00281428" w:rsidRDefault="00D42201" w:rsidP="005649B8">
            <w:pPr>
              <w:spacing w:before="60" w:after="60"/>
              <w:rPr>
                <w:b/>
                <w:color w:val="000000"/>
                <w:u w:val="single"/>
              </w:rPr>
            </w:pPr>
            <w:r w:rsidRPr="00281428">
              <w:rPr>
                <w:b/>
                <w:color w:val="000000"/>
                <w:u w:val="single"/>
              </w:rPr>
              <w:t>Salad dressing, mayonnaise</w:t>
            </w:r>
          </w:p>
        </w:tc>
        <w:tc>
          <w:tcPr>
            <w:tcW w:w="2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94528" w14:textId="77777777" w:rsidR="00D42201" w:rsidRPr="00281428" w:rsidRDefault="00D42201" w:rsidP="005649B8">
            <w:pPr>
              <w:spacing w:before="60" w:after="60"/>
              <w:jc w:val="center"/>
              <w:rPr>
                <w:b/>
                <w:color w:val="000000"/>
                <w:u w:val="single"/>
              </w:rPr>
            </w:pPr>
            <w:r w:rsidRPr="00281428">
              <w:rPr>
                <w:b/>
                <w:color w:val="000000"/>
                <w:u w:val="single"/>
              </w:rPr>
              <w:t>Petroleum naptha, dish washing agent in water</w:t>
            </w:r>
          </w:p>
        </w:tc>
        <w:tc>
          <w:tcPr>
            <w:tcW w:w="3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EED31" w14:textId="77777777" w:rsidR="00D42201" w:rsidRPr="00281428" w:rsidRDefault="00D42201" w:rsidP="005649B8">
            <w:pPr>
              <w:spacing w:before="60" w:after="60"/>
              <w:jc w:val="center"/>
              <w:rPr>
                <w:b/>
                <w:color w:val="000000"/>
                <w:u w:val="single"/>
              </w:rPr>
            </w:pPr>
            <w:r w:rsidRPr="00281428">
              <w:rPr>
                <w:b/>
                <w:color w:val="000000"/>
                <w:u w:val="single"/>
              </w:rPr>
              <w:t>Ethanol</w:t>
            </w:r>
          </w:p>
        </w:tc>
      </w:tr>
      <w:tr w:rsidR="00D42201" w:rsidRPr="00281428" w14:paraId="70DD1A2E" w14:textId="77777777" w:rsidTr="009E3338">
        <w:tc>
          <w:tcPr>
            <w:tcW w:w="2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D03E3" w14:textId="2D8A0BC3" w:rsidR="00D42201" w:rsidRPr="00281428" w:rsidRDefault="005649B8" w:rsidP="005649B8">
            <w:pPr>
              <w:spacing w:before="60" w:after="60"/>
              <w:rPr>
                <w:b/>
                <w:color w:val="000000"/>
                <w:u w:val="single"/>
              </w:rPr>
            </w:pPr>
            <w:r w:rsidRPr="00281428">
              <w:rPr>
                <w:b/>
                <w:color w:val="000000"/>
                <w:u w:val="single"/>
              </w:rPr>
              <w:t>Suntan</w:t>
            </w:r>
            <w:r w:rsidR="00D42201" w:rsidRPr="00281428">
              <w:rPr>
                <w:b/>
                <w:color w:val="000000"/>
                <w:u w:val="single"/>
              </w:rPr>
              <w:t xml:space="preserve"> lotion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AFCCC" w14:textId="77777777" w:rsidR="00D42201" w:rsidRPr="00281428" w:rsidRDefault="00D42201" w:rsidP="005649B8">
            <w:pPr>
              <w:spacing w:before="60" w:after="60"/>
              <w:jc w:val="center"/>
              <w:rPr>
                <w:b/>
                <w:color w:val="000000"/>
                <w:u w:val="single"/>
              </w:rPr>
            </w:pPr>
            <w:r w:rsidRPr="00281428">
              <w:rPr>
                <w:b/>
                <w:color w:val="000000"/>
                <w:u w:val="single"/>
              </w:rPr>
              <w:t>Tap water</w:t>
            </w:r>
          </w:p>
        </w:tc>
        <w:tc>
          <w:tcPr>
            <w:tcW w:w="3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B0F614" w14:textId="77777777" w:rsidR="00D42201" w:rsidRPr="00281428" w:rsidRDefault="00D42201" w:rsidP="005649B8">
            <w:pPr>
              <w:spacing w:before="60" w:after="60"/>
              <w:jc w:val="center"/>
              <w:rPr>
                <w:b/>
                <w:color w:val="000000"/>
                <w:u w:val="single"/>
              </w:rPr>
            </w:pPr>
            <w:r w:rsidRPr="00281428">
              <w:rPr>
                <w:b/>
                <w:color w:val="000000"/>
                <w:u w:val="single"/>
              </w:rPr>
              <w:t>Ethanol</w:t>
            </w:r>
          </w:p>
        </w:tc>
      </w:tr>
      <w:tr w:rsidR="00D42201" w:rsidRPr="00281428" w14:paraId="40784C2E" w14:textId="77777777" w:rsidTr="009E3338">
        <w:tc>
          <w:tcPr>
            <w:tcW w:w="2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424A66" w14:textId="77777777" w:rsidR="00D42201" w:rsidRPr="00281428" w:rsidRDefault="00D42201" w:rsidP="005649B8">
            <w:pPr>
              <w:spacing w:before="60" w:after="60"/>
              <w:rPr>
                <w:b/>
                <w:color w:val="000000"/>
                <w:u w:val="single"/>
              </w:rPr>
            </w:pPr>
            <w:r w:rsidRPr="00281428">
              <w:rPr>
                <w:b/>
                <w:color w:val="000000"/>
                <w:u w:val="single"/>
              </w:rPr>
              <w:t>Spirits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D1647" w14:textId="77777777" w:rsidR="00D42201" w:rsidRPr="00281428" w:rsidRDefault="00D42201" w:rsidP="005649B8">
            <w:pPr>
              <w:spacing w:before="60" w:after="60"/>
              <w:jc w:val="center"/>
              <w:rPr>
                <w:b/>
                <w:color w:val="000000"/>
                <w:u w:val="single"/>
              </w:rPr>
            </w:pPr>
            <w:r w:rsidRPr="00281428">
              <w:rPr>
                <w:b/>
                <w:color w:val="000000"/>
                <w:u w:val="single"/>
              </w:rPr>
              <w:t>Tap water</w:t>
            </w:r>
          </w:p>
        </w:tc>
        <w:tc>
          <w:tcPr>
            <w:tcW w:w="3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BC78F0" w14:textId="77777777" w:rsidR="00D42201" w:rsidRPr="00281428" w:rsidRDefault="00D42201" w:rsidP="005649B8">
            <w:pPr>
              <w:spacing w:before="60" w:after="60"/>
              <w:jc w:val="center"/>
              <w:rPr>
                <w:b/>
                <w:color w:val="000000"/>
                <w:u w:val="single"/>
              </w:rPr>
            </w:pPr>
            <w:r w:rsidRPr="00281428">
              <w:rPr>
                <w:b/>
                <w:color w:val="000000"/>
                <w:u w:val="single"/>
              </w:rPr>
              <w:t>Ultra-pre (bi-distilled or deionized) water</w:t>
            </w:r>
          </w:p>
        </w:tc>
      </w:tr>
      <w:tr w:rsidR="00D42201" w:rsidRPr="00281428" w14:paraId="095FF95B" w14:textId="77777777" w:rsidTr="009E3338">
        <w:tc>
          <w:tcPr>
            <w:tcW w:w="2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F5501" w14:textId="77777777" w:rsidR="00D42201" w:rsidRPr="00281428" w:rsidRDefault="00D42201" w:rsidP="005649B8">
            <w:pPr>
              <w:spacing w:before="60" w:after="60"/>
              <w:rPr>
                <w:b/>
                <w:color w:val="000000"/>
                <w:u w:val="single"/>
              </w:rPr>
            </w:pPr>
            <w:r w:rsidRPr="00281428">
              <w:rPr>
                <w:b/>
                <w:color w:val="000000"/>
                <w:u w:val="single"/>
              </w:rPr>
              <w:t>Grape juice, syrup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CEE78" w14:textId="77777777" w:rsidR="00D42201" w:rsidRPr="00281428" w:rsidRDefault="00D42201" w:rsidP="005649B8">
            <w:pPr>
              <w:spacing w:before="60" w:after="60"/>
              <w:jc w:val="center"/>
              <w:rPr>
                <w:b/>
                <w:color w:val="000000"/>
                <w:u w:val="single"/>
              </w:rPr>
            </w:pPr>
            <w:r w:rsidRPr="00281428">
              <w:rPr>
                <w:b/>
                <w:color w:val="000000"/>
                <w:u w:val="single"/>
              </w:rPr>
              <w:t>Warm tap water</w:t>
            </w:r>
          </w:p>
        </w:tc>
        <w:tc>
          <w:tcPr>
            <w:tcW w:w="3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9522AD" w14:textId="77777777" w:rsidR="00D42201" w:rsidRPr="00281428" w:rsidRDefault="00D42201" w:rsidP="005649B8">
            <w:pPr>
              <w:spacing w:before="60" w:after="60"/>
              <w:jc w:val="center"/>
              <w:rPr>
                <w:b/>
                <w:color w:val="000000"/>
                <w:u w:val="single"/>
              </w:rPr>
            </w:pPr>
            <w:r w:rsidRPr="00281428">
              <w:rPr>
                <w:b/>
                <w:color w:val="000000"/>
                <w:u w:val="single"/>
              </w:rPr>
              <w:t>Ultra-pre (bi-distilled or deionized) water</w:t>
            </w:r>
          </w:p>
        </w:tc>
      </w:tr>
      <w:tr w:rsidR="00D42201" w:rsidRPr="00281428" w14:paraId="055CC8DB" w14:textId="77777777" w:rsidTr="009E3338">
        <w:tc>
          <w:tcPr>
            <w:tcW w:w="2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DC102" w14:textId="77777777" w:rsidR="00D42201" w:rsidRPr="00281428" w:rsidRDefault="00D42201" w:rsidP="005649B8">
            <w:pPr>
              <w:spacing w:before="60" w:after="60"/>
              <w:rPr>
                <w:b/>
                <w:color w:val="000000"/>
                <w:u w:val="single"/>
              </w:rPr>
            </w:pPr>
            <w:r w:rsidRPr="00281428">
              <w:rPr>
                <w:b/>
                <w:color w:val="000000"/>
                <w:u w:val="single"/>
              </w:rPr>
              <w:t>Milk*</w:t>
            </w:r>
          </w:p>
        </w:tc>
        <w:tc>
          <w:tcPr>
            <w:tcW w:w="2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123A9C" w14:textId="77777777" w:rsidR="00D42201" w:rsidRPr="00281428" w:rsidRDefault="00D42201" w:rsidP="005649B8">
            <w:pPr>
              <w:spacing w:before="60" w:after="60"/>
              <w:jc w:val="center"/>
              <w:rPr>
                <w:b/>
                <w:color w:val="000000"/>
                <w:u w:val="single"/>
              </w:rPr>
            </w:pPr>
            <w:r w:rsidRPr="00281428">
              <w:rPr>
                <w:b/>
                <w:color w:val="000000"/>
                <w:u w:val="single"/>
              </w:rPr>
              <w:t>Tap water, enzymatic lab cleaner</w:t>
            </w:r>
          </w:p>
        </w:tc>
        <w:tc>
          <w:tcPr>
            <w:tcW w:w="3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5F62C4" w14:textId="77777777" w:rsidR="00D42201" w:rsidRPr="00281428" w:rsidRDefault="00D42201" w:rsidP="005649B8">
            <w:pPr>
              <w:spacing w:before="60" w:after="60"/>
              <w:jc w:val="center"/>
              <w:rPr>
                <w:b/>
                <w:color w:val="000000"/>
                <w:u w:val="single"/>
              </w:rPr>
            </w:pPr>
            <w:r w:rsidRPr="00281428">
              <w:rPr>
                <w:b/>
                <w:color w:val="000000"/>
                <w:u w:val="single"/>
              </w:rPr>
              <w:t>Ultra-pre (bi-distilled or deionized) water</w:t>
            </w:r>
          </w:p>
        </w:tc>
      </w:tr>
    </w:tbl>
    <w:p w14:paraId="394A1C3F" w14:textId="41971258" w:rsidR="00F837E2" w:rsidRPr="00281428" w:rsidRDefault="00F837E2" w:rsidP="00F837E2">
      <w:pPr>
        <w:rPr>
          <w:szCs w:val="20"/>
        </w:rPr>
      </w:pPr>
    </w:p>
    <w:tbl>
      <w:tblPr>
        <w:tblW w:w="9540" w:type="dxa"/>
        <w:tblLook w:val="04A0" w:firstRow="1" w:lastRow="0" w:firstColumn="1" w:lastColumn="0" w:noHBand="0" w:noVBand="1"/>
        <w:tblCaption w:val="Package Checking Calculation Worksheet Density Meter Method"/>
        <w:tblDescription w:val="Package Checing Calculation Worksheet Density Meter Method"/>
      </w:tblPr>
      <w:tblGrid>
        <w:gridCol w:w="1138"/>
        <w:gridCol w:w="2552"/>
        <w:gridCol w:w="1530"/>
        <w:gridCol w:w="1080"/>
        <w:gridCol w:w="966"/>
        <w:gridCol w:w="1194"/>
        <w:gridCol w:w="1080"/>
      </w:tblGrid>
      <w:tr w:rsidR="000540E4" w:rsidRPr="00281428" w14:paraId="35A7D363" w14:textId="77777777" w:rsidTr="00A96162">
        <w:trPr>
          <w:trHeight w:val="445"/>
        </w:trPr>
        <w:tc>
          <w:tcPr>
            <w:tcW w:w="9540" w:type="dxa"/>
            <w:gridSpan w:val="7"/>
            <w:tcBorders>
              <w:top w:val="nil"/>
              <w:left w:val="nil"/>
              <w:bottom w:val="nil"/>
              <w:right w:val="nil"/>
            </w:tcBorders>
            <w:shd w:val="clear" w:color="auto" w:fill="auto"/>
            <w:noWrap/>
            <w:vAlign w:val="center"/>
            <w:hideMark/>
          </w:tcPr>
          <w:p w14:paraId="58B1BCE0" w14:textId="2E600317" w:rsidR="000540E4" w:rsidRPr="00281428" w:rsidRDefault="000540E4" w:rsidP="00805E7F">
            <w:pPr>
              <w:keepNext/>
              <w:keepLines/>
              <w:spacing w:after="0"/>
              <w:jc w:val="center"/>
              <w:rPr>
                <w:rFonts w:eastAsia="Times New Roman"/>
                <w:b/>
                <w:color w:val="000000"/>
                <w:szCs w:val="20"/>
                <w:u w:val="single"/>
              </w:rPr>
            </w:pPr>
            <w:r w:rsidRPr="00281428">
              <w:rPr>
                <w:rFonts w:eastAsia="Times New Roman"/>
                <w:b/>
                <w:color w:val="000000"/>
                <w:szCs w:val="20"/>
                <w:u w:val="single"/>
              </w:rPr>
              <w:lastRenderedPageBreak/>
              <w:t>Package Checking Calculation Worksheet - Density Meter Method</w:t>
            </w:r>
          </w:p>
        </w:tc>
      </w:tr>
      <w:tr w:rsidR="00F837E2" w:rsidRPr="00281428" w14:paraId="737D7748" w14:textId="77777777" w:rsidTr="001C7FB7">
        <w:trPr>
          <w:trHeight w:val="445"/>
        </w:trPr>
        <w:tc>
          <w:tcPr>
            <w:tcW w:w="1138" w:type="dxa"/>
            <w:tcBorders>
              <w:top w:val="nil"/>
              <w:left w:val="nil"/>
              <w:bottom w:val="nil"/>
              <w:right w:val="nil"/>
            </w:tcBorders>
            <w:shd w:val="clear" w:color="auto" w:fill="D9D9D9" w:themeFill="background1" w:themeFillShade="D9"/>
            <w:noWrap/>
            <w:vAlign w:val="center"/>
            <w:hideMark/>
          </w:tcPr>
          <w:p w14:paraId="02655A08" w14:textId="77777777" w:rsidR="00F837E2" w:rsidRPr="00281428" w:rsidRDefault="00F837E2" w:rsidP="00805E7F">
            <w:pPr>
              <w:keepNext/>
              <w:keepLines/>
              <w:spacing w:after="0"/>
              <w:jc w:val="center"/>
              <w:rPr>
                <w:rFonts w:eastAsia="Times New Roman"/>
                <w:b/>
                <w:szCs w:val="20"/>
                <w:u w:val="single"/>
              </w:rPr>
            </w:pPr>
          </w:p>
        </w:tc>
        <w:tc>
          <w:tcPr>
            <w:tcW w:w="2552" w:type="dxa"/>
            <w:tcBorders>
              <w:top w:val="nil"/>
              <w:left w:val="nil"/>
              <w:bottom w:val="nil"/>
              <w:right w:val="nil"/>
            </w:tcBorders>
            <w:shd w:val="clear" w:color="auto" w:fill="D9D9D9" w:themeFill="background1" w:themeFillShade="D9"/>
            <w:noWrap/>
            <w:vAlign w:val="center"/>
            <w:hideMark/>
          </w:tcPr>
          <w:p w14:paraId="053B88F3" w14:textId="77777777" w:rsidR="00F837E2" w:rsidRPr="00281428" w:rsidRDefault="00F837E2" w:rsidP="00805E7F">
            <w:pPr>
              <w:keepNext/>
              <w:keepLines/>
              <w:spacing w:after="0"/>
              <w:jc w:val="center"/>
              <w:rPr>
                <w:rFonts w:eastAsia="Times New Roman"/>
                <w:b/>
                <w:szCs w:val="20"/>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193EA" w14:textId="77777777" w:rsidR="00F837E2" w:rsidRPr="00281428" w:rsidRDefault="00F837E2" w:rsidP="00805E7F">
            <w:pPr>
              <w:keepNext/>
              <w:keepLines/>
              <w:spacing w:after="0"/>
              <w:jc w:val="center"/>
              <w:rPr>
                <w:rFonts w:eastAsia="Times New Roman"/>
                <w:b/>
                <w:color w:val="000000"/>
                <w:szCs w:val="20"/>
                <w:u w:val="single"/>
              </w:rPr>
            </w:pPr>
            <w:r w:rsidRPr="00281428">
              <w:rPr>
                <w:rFonts w:eastAsia="Times New Roman"/>
                <w:b/>
                <w:color w:val="000000"/>
                <w:szCs w:val="20"/>
                <w:u w:val="single"/>
              </w:rPr>
              <w:t>Package No.</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F946D56" w14:textId="116B97AA" w:rsidR="00F837E2" w:rsidRPr="00281428" w:rsidRDefault="00F837E2" w:rsidP="00805E7F">
            <w:pPr>
              <w:keepNext/>
              <w:keepLines/>
              <w:spacing w:after="0"/>
              <w:jc w:val="center"/>
              <w:rPr>
                <w:rFonts w:eastAsia="Times New Roman"/>
                <w:b/>
                <w:color w:val="000000"/>
                <w:szCs w:val="20"/>
                <w:u w:val="single"/>
              </w:rPr>
            </w:pP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0C335808" w14:textId="67A60AC7" w:rsidR="00F837E2" w:rsidRPr="00281428" w:rsidRDefault="00F837E2" w:rsidP="00805E7F">
            <w:pPr>
              <w:keepNext/>
              <w:keepLines/>
              <w:spacing w:after="0"/>
              <w:jc w:val="center"/>
              <w:rPr>
                <w:rFonts w:eastAsia="Times New Roman"/>
                <w:b/>
                <w:color w:val="000000"/>
                <w:szCs w:val="20"/>
                <w:u w:val="single"/>
              </w:rPr>
            </w:pP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28C4F1F1" w14:textId="67F87312" w:rsidR="00F837E2" w:rsidRPr="00281428" w:rsidRDefault="00F837E2" w:rsidP="00805E7F">
            <w:pPr>
              <w:keepNext/>
              <w:keepLines/>
              <w:spacing w:after="0"/>
              <w:jc w:val="center"/>
              <w:rPr>
                <w:rFonts w:eastAsia="Times New Roman"/>
                <w:b/>
                <w:color w:val="000000"/>
                <w:szCs w:val="20"/>
                <w:u w:val="single"/>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6826585" w14:textId="41636044" w:rsidR="00F837E2" w:rsidRPr="00281428" w:rsidRDefault="00F837E2" w:rsidP="00805E7F">
            <w:pPr>
              <w:keepNext/>
              <w:keepLines/>
              <w:spacing w:after="0"/>
              <w:jc w:val="center"/>
              <w:rPr>
                <w:rFonts w:eastAsia="Times New Roman"/>
                <w:b/>
                <w:color w:val="000000"/>
                <w:szCs w:val="20"/>
                <w:u w:val="single"/>
              </w:rPr>
            </w:pPr>
          </w:p>
        </w:tc>
      </w:tr>
      <w:tr w:rsidR="00F837E2" w:rsidRPr="00281428" w14:paraId="7F1805C9" w14:textId="77777777" w:rsidTr="00A96162">
        <w:trPr>
          <w:trHeight w:val="290"/>
        </w:trPr>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5E87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Product</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DC2DE18" w14:textId="77777777" w:rsidR="00F837E2" w:rsidRPr="00281428" w:rsidRDefault="00F837E2" w:rsidP="00805E7F">
            <w:pPr>
              <w:keepNext/>
              <w:keepLines/>
              <w:spacing w:after="60"/>
              <w:jc w:val="center"/>
              <w:rPr>
                <w:rFonts w:eastAsia="Times New Roman"/>
                <w:b/>
                <w:color w:val="000000"/>
                <w:szCs w:val="20"/>
                <w:u w:val="single"/>
              </w:rPr>
            </w:pPr>
            <w:r w:rsidRPr="00281428">
              <w:rPr>
                <w:rFonts w:eastAsia="Times New Roman"/>
                <w:b/>
                <w:color w:val="000000"/>
                <w:szCs w:val="20"/>
                <w:u w:val="single"/>
              </w:rPr>
              <w:t>10W-30 Oil</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07CEE430"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8/28/2019</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714B206" w14:textId="77777777" w:rsidR="00F837E2" w:rsidRPr="00281428" w:rsidRDefault="00F837E2" w:rsidP="00805E7F">
            <w:pPr>
              <w:keepNext/>
              <w:keepLines/>
              <w:spacing w:after="60"/>
              <w:jc w:val="center"/>
              <w:rPr>
                <w:rFonts w:eastAsia="Times New Roman"/>
                <w:b/>
                <w:color w:val="000000"/>
                <w:szCs w:val="20"/>
                <w:u w:val="single"/>
              </w:rPr>
            </w:pPr>
            <w:r w:rsidRPr="00281428">
              <w:rPr>
                <w:rFonts w:eastAsia="Times New Roman"/>
                <w:b/>
                <w:color w:val="000000"/>
                <w:szCs w:val="20"/>
                <w:u w:val="single"/>
              </w:rPr>
              <w:t>Run 1</w:t>
            </w:r>
          </w:p>
        </w:tc>
        <w:tc>
          <w:tcPr>
            <w:tcW w:w="966" w:type="dxa"/>
            <w:tcBorders>
              <w:top w:val="nil"/>
              <w:left w:val="nil"/>
              <w:bottom w:val="single" w:sz="4" w:space="0" w:color="auto"/>
              <w:right w:val="single" w:sz="4" w:space="0" w:color="auto"/>
            </w:tcBorders>
            <w:shd w:val="clear" w:color="auto" w:fill="D9D9D9" w:themeFill="background1" w:themeFillShade="D9"/>
            <w:noWrap/>
            <w:vAlign w:val="bottom"/>
            <w:hideMark/>
          </w:tcPr>
          <w:p w14:paraId="5FFE4693" w14:textId="77777777" w:rsidR="00F837E2" w:rsidRPr="00281428" w:rsidRDefault="00F837E2" w:rsidP="00805E7F">
            <w:pPr>
              <w:keepNext/>
              <w:keepLines/>
              <w:spacing w:after="60"/>
              <w:jc w:val="center"/>
              <w:rPr>
                <w:rFonts w:eastAsia="Times New Roman"/>
                <w:b/>
                <w:color w:val="000000"/>
                <w:szCs w:val="20"/>
                <w:u w:val="single"/>
              </w:rPr>
            </w:pPr>
            <w:r w:rsidRPr="00281428">
              <w:rPr>
                <w:rFonts w:eastAsia="Times New Roman"/>
                <w:b/>
                <w:color w:val="000000"/>
                <w:szCs w:val="20"/>
                <w:u w:val="single"/>
              </w:rPr>
              <w:t>Run 2</w:t>
            </w:r>
          </w:p>
        </w:tc>
        <w:tc>
          <w:tcPr>
            <w:tcW w:w="1194" w:type="dxa"/>
            <w:tcBorders>
              <w:top w:val="nil"/>
              <w:left w:val="nil"/>
              <w:bottom w:val="single" w:sz="4" w:space="0" w:color="auto"/>
              <w:right w:val="single" w:sz="4" w:space="0" w:color="auto"/>
            </w:tcBorders>
            <w:shd w:val="clear" w:color="auto" w:fill="D9D9D9" w:themeFill="background1" w:themeFillShade="D9"/>
            <w:noWrap/>
            <w:vAlign w:val="bottom"/>
            <w:hideMark/>
          </w:tcPr>
          <w:p w14:paraId="38E670A9" w14:textId="77777777" w:rsidR="00F837E2" w:rsidRPr="00281428" w:rsidRDefault="00F837E2" w:rsidP="00805E7F">
            <w:pPr>
              <w:keepNext/>
              <w:keepLines/>
              <w:spacing w:after="60"/>
              <w:jc w:val="center"/>
              <w:rPr>
                <w:rFonts w:eastAsia="Times New Roman"/>
                <w:b/>
                <w:color w:val="000000"/>
                <w:szCs w:val="20"/>
                <w:u w:val="single"/>
              </w:rPr>
            </w:pPr>
            <w:r w:rsidRPr="00281428">
              <w:rPr>
                <w:rFonts w:eastAsia="Times New Roman"/>
                <w:b/>
                <w:color w:val="000000"/>
                <w:szCs w:val="20"/>
                <w:u w:val="single"/>
              </w:rPr>
              <w:t>Run 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B7CD583" w14:textId="77777777" w:rsidR="00F837E2" w:rsidRPr="00281428" w:rsidRDefault="00F837E2" w:rsidP="00805E7F">
            <w:pPr>
              <w:keepNext/>
              <w:keepLines/>
              <w:spacing w:after="60"/>
              <w:jc w:val="center"/>
              <w:rPr>
                <w:rFonts w:eastAsia="Times New Roman"/>
                <w:b/>
                <w:color w:val="000000"/>
                <w:szCs w:val="20"/>
                <w:u w:val="single"/>
              </w:rPr>
            </w:pPr>
            <w:r w:rsidRPr="00281428">
              <w:rPr>
                <w:rFonts w:eastAsia="Times New Roman"/>
                <w:b/>
                <w:color w:val="000000"/>
                <w:szCs w:val="20"/>
                <w:u w:val="single"/>
              </w:rPr>
              <w:t>Run 4</w:t>
            </w:r>
          </w:p>
        </w:tc>
      </w:tr>
      <w:tr w:rsidR="00F837E2" w:rsidRPr="00281428" w14:paraId="40BE02F4" w14:textId="77777777" w:rsidTr="00A96162">
        <w:trPr>
          <w:trHeight w:val="290"/>
        </w:trPr>
        <w:tc>
          <w:tcPr>
            <w:tcW w:w="1138" w:type="dxa"/>
            <w:tcBorders>
              <w:top w:val="nil"/>
              <w:left w:val="single" w:sz="8" w:space="0" w:color="auto"/>
              <w:bottom w:val="nil"/>
              <w:right w:val="nil"/>
            </w:tcBorders>
            <w:shd w:val="clear" w:color="auto" w:fill="auto"/>
            <w:noWrap/>
            <w:vAlign w:val="bottom"/>
            <w:hideMark/>
          </w:tcPr>
          <w:p w14:paraId="57A2F252"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Barometer</w:t>
            </w:r>
          </w:p>
        </w:tc>
        <w:tc>
          <w:tcPr>
            <w:tcW w:w="2552" w:type="dxa"/>
            <w:tcBorders>
              <w:top w:val="nil"/>
              <w:left w:val="nil"/>
              <w:bottom w:val="nil"/>
              <w:right w:val="nil"/>
            </w:tcBorders>
            <w:shd w:val="clear" w:color="auto" w:fill="auto"/>
            <w:noWrap/>
            <w:vAlign w:val="bottom"/>
            <w:hideMark/>
          </w:tcPr>
          <w:p w14:paraId="213708D6"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air temp, °C</w:t>
            </w:r>
          </w:p>
        </w:tc>
        <w:tc>
          <w:tcPr>
            <w:tcW w:w="1530" w:type="dxa"/>
            <w:tcBorders>
              <w:top w:val="nil"/>
              <w:left w:val="nil"/>
              <w:bottom w:val="nil"/>
              <w:right w:val="nil"/>
            </w:tcBorders>
            <w:shd w:val="clear" w:color="auto" w:fill="auto"/>
            <w:noWrap/>
            <w:vAlign w:val="bottom"/>
            <w:hideMark/>
          </w:tcPr>
          <w:p w14:paraId="575AB37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DA2A448"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20</w:t>
            </w:r>
          </w:p>
        </w:tc>
        <w:tc>
          <w:tcPr>
            <w:tcW w:w="966" w:type="dxa"/>
            <w:tcBorders>
              <w:top w:val="nil"/>
              <w:left w:val="nil"/>
              <w:bottom w:val="single" w:sz="4" w:space="0" w:color="auto"/>
              <w:right w:val="single" w:sz="4" w:space="0" w:color="auto"/>
            </w:tcBorders>
            <w:shd w:val="clear" w:color="auto" w:fill="auto"/>
            <w:noWrap/>
            <w:vAlign w:val="bottom"/>
            <w:hideMark/>
          </w:tcPr>
          <w:p w14:paraId="73853AC4"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20</w:t>
            </w:r>
          </w:p>
        </w:tc>
        <w:tc>
          <w:tcPr>
            <w:tcW w:w="1194" w:type="dxa"/>
            <w:tcBorders>
              <w:top w:val="nil"/>
              <w:left w:val="nil"/>
              <w:bottom w:val="single" w:sz="4" w:space="0" w:color="auto"/>
              <w:right w:val="single" w:sz="4" w:space="0" w:color="auto"/>
            </w:tcBorders>
            <w:shd w:val="clear" w:color="auto" w:fill="auto"/>
            <w:noWrap/>
            <w:vAlign w:val="bottom"/>
            <w:hideMark/>
          </w:tcPr>
          <w:p w14:paraId="592C5E86"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20</w:t>
            </w:r>
          </w:p>
        </w:tc>
        <w:tc>
          <w:tcPr>
            <w:tcW w:w="1080" w:type="dxa"/>
            <w:tcBorders>
              <w:top w:val="nil"/>
              <w:left w:val="nil"/>
              <w:bottom w:val="single" w:sz="4" w:space="0" w:color="auto"/>
              <w:right w:val="single" w:sz="4" w:space="0" w:color="auto"/>
            </w:tcBorders>
            <w:shd w:val="clear" w:color="auto" w:fill="auto"/>
            <w:noWrap/>
            <w:vAlign w:val="bottom"/>
            <w:hideMark/>
          </w:tcPr>
          <w:p w14:paraId="1633151F"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20</w:t>
            </w:r>
          </w:p>
        </w:tc>
      </w:tr>
      <w:tr w:rsidR="00F837E2" w:rsidRPr="00281428" w14:paraId="61348CCA" w14:textId="77777777" w:rsidTr="00A96162">
        <w:trPr>
          <w:trHeight w:val="300"/>
        </w:trPr>
        <w:tc>
          <w:tcPr>
            <w:tcW w:w="1138" w:type="dxa"/>
            <w:tcBorders>
              <w:top w:val="nil"/>
              <w:left w:val="single" w:sz="8" w:space="0" w:color="auto"/>
              <w:bottom w:val="single" w:sz="8" w:space="0" w:color="auto"/>
              <w:right w:val="nil"/>
            </w:tcBorders>
            <w:shd w:val="clear" w:color="auto" w:fill="auto"/>
            <w:noWrap/>
            <w:vAlign w:val="bottom"/>
            <w:hideMark/>
          </w:tcPr>
          <w:p w14:paraId="5484296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single" w:sz="8" w:space="0" w:color="auto"/>
              <w:right w:val="nil"/>
            </w:tcBorders>
            <w:shd w:val="clear" w:color="auto" w:fill="auto"/>
            <w:noWrap/>
            <w:vAlign w:val="bottom"/>
            <w:hideMark/>
          </w:tcPr>
          <w:p w14:paraId="6D360BD1"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barometric press, mmHg</w:t>
            </w:r>
          </w:p>
        </w:tc>
        <w:tc>
          <w:tcPr>
            <w:tcW w:w="1530" w:type="dxa"/>
            <w:tcBorders>
              <w:top w:val="nil"/>
              <w:left w:val="nil"/>
              <w:bottom w:val="single" w:sz="8" w:space="0" w:color="auto"/>
              <w:right w:val="nil"/>
            </w:tcBorders>
            <w:shd w:val="clear" w:color="auto" w:fill="auto"/>
            <w:noWrap/>
            <w:vAlign w:val="bottom"/>
            <w:hideMark/>
          </w:tcPr>
          <w:p w14:paraId="4D704D3B"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14:paraId="684FB775"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760</w:t>
            </w:r>
          </w:p>
        </w:tc>
        <w:tc>
          <w:tcPr>
            <w:tcW w:w="966" w:type="dxa"/>
            <w:tcBorders>
              <w:top w:val="nil"/>
              <w:left w:val="nil"/>
              <w:bottom w:val="single" w:sz="8" w:space="0" w:color="auto"/>
              <w:right w:val="single" w:sz="4" w:space="0" w:color="auto"/>
            </w:tcBorders>
            <w:shd w:val="clear" w:color="auto" w:fill="auto"/>
            <w:noWrap/>
            <w:vAlign w:val="bottom"/>
            <w:hideMark/>
          </w:tcPr>
          <w:p w14:paraId="553DFA57"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760</w:t>
            </w:r>
          </w:p>
        </w:tc>
        <w:tc>
          <w:tcPr>
            <w:tcW w:w="1194" w:type="dxa"/>
            <w:tcBorders>
              <w:top w:val="nil"/>
              <w:left w:val="nil"/>
              <w:bottom w:val="single" w:sz="8" w:space="0" w:color="auto"/>
              <w:right w:val="single" w:sz="4" w:space="0" w:color="auto"/>
            </w:tcBorders>
            <w:shd w:val="clear" w:color="auto" w:fill="auto"/>
            <w:noWrap/>
            <w:vAlign w:val="bottom"/>
            <w:hideMark/>
          </w:tcPr>
          <w:p w14:paraId="45B9B897"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600</w:t>
            </w:r>
          </w:p>
        </w:tc>
        <w:tc>
          <w:tcPr>
            <w:tcW w:w="1080" w:type="dxa"/>
            <w:tcBorders>
              <w:top w:val="nil"/>
              <w:left w:val="nil"/>
              <w:bottom w:val="single" w:sz="8" w:space="0" w:color="auto"/>
              <w:right w:val="single" w:sz="4" w:space="0" w:color="auto"/>
            </w:tcBorders>
            <w:shd w:val="clear" w:color="auto" w:fill="auto"/>
            <w:noWrap/>
            <w:vAlign w:val="bottom"/>
            <w:hideMark/>
          </w:tcPr>
          <w:p w14:paraId="00EB62A9" w14:textId="77777777" w:rsidR="00F837E2" w:rsidRPr="00281428" w:rsidRDefault="00F837E2" w:rsidP="00805E7F">
            <w:pPr>
              <w:keepNext/>
              <w:keepLines/>
              <w:spacing w:after="60"/>
              <w:jc w:val="right"/>
              <w:rPr>
                <w:rFonts w:eastAsia="Times New Roman"/>
                <w:b/>
                <w:color w:val="000000"/>
                <w:szCs w:val="20"/>
                <w:u w:val="single"/>
              </w:rPr>
            </w:pPr>
            <w:r w:rsidRPr="00281428">
              <w:rPr>
                <w:rFonts w:eastAsia="Times New Roman"/>
                <w:b/>
                <w:color w:val="000000"/>
                <w:szCs w:val="20"/>
                <w:u w:val="single"/>
              </w:rPr>
              <w:t>760</w:t>
            </w:r>
          </w:p>
        </w:tc>
      </w:tr>
      <w:tr w:rsidR="00F837E2" w:rsidRPr="00281428" w14:paraId="7E7A860D" w14:textId="77777777" w:rsidTr="00A96162">
        <w:trPr>
          <w:trHeight w:val="370"/>
        </w:trPr>
        <w:tc>
          <w:tcPr>
            <w:tcW w:w="1138" w:type="dxa"/>
            <w:tcBorders>
              <w:top w:val="nil"/>
              <w:left w:val="single" w:sz="8" w:space="0" w:color="auto"/>
              <w:bottom w:val="nil"/>
              <w:right w:val="nil"/>
            </w:tcBorders>
            <w:shd w:val="clear" w:color="auto" w:fill="F2F2F2" w:themeFill="background1" w:themeFillShade="F2"/>
            <w:noWrap/>
            <w:vAlign w:val="bottom"/>
            <w:hideMark/>
          </w:tcPr>
          <w:p w14:paraId="3809FF58"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Density</w:t>
            </w:r>
          </w:p>
        </w:tc>
        <w:tc>
          <w:tcPr>
            <w:tcW w:w="2552" w:type="dxa"/>
            <w:tcBorders>
              <w:top w:val="nil"/>
              <w:left w:val="nil"/>
              <w:bottom w:val="nil"/>
              <w:right w:val="nil"/>
            </w:tcBorders>
            <w:shd w:val="clear" w:color="auto" w:fill="F2F2F2" w:themeFill="background1" w:themeFillShade="F2"/>
            <w:noWrap/>
            <w:vAlign w:val="bottom"/>
            <w:hideMark/>
          </w:tcPr>
          <w:p w14:paraId="7295AFBA"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ρsubstance (g/cc)</w:t>
            </w:r>
          </w:p>
        </w:tc>
        <w:tc>
          <w:tcPr>
            <w:tcW w:w="1530" w:type="dxa"/>
            <w:tcBorders>
              <w:top w:val="nil"/>
              <w:left w:val="nil"/>
              <w:bottom w:val="nil"/>
              <w:right w:val="nil"/>
            </w:tcBorders>
            <w:shd w:val="clear" w:color="auto" w:fill="F2F2F2" w:themeFill="background1" w:themeFillShade="F2"/>
            <w:noWrap/>
            <w:vAlign w:val="bottom"/>
            <w:hideMark/>
          </w:tcPr>
          <w:p w14:paraId="73836DD3"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08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4193037"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0.8500</w:t>
            </w:r>
          </w:p>
        </w:tc>
        <w:tc>
          <w:tcPr>
            <w:tcW w:w="966" w:type="dxa"/>
            <w:tcBorders>
              <w:top w:val="nil"/>
              <w:left w:val="nil"/>
              <w:bottom w:val="single" w:sz="4" w:space="0" w:color="auto"/>
              <w:right w:val="single" w:sz="4" w:space="0" w:color="auto"/>
            </w:tcBorders>
            <w:shd w:val="clear" w:color="auto" w:fill="F2F2F2" w:themeFill="background1" w:themeFillShade="F2"/>
            <w:noWrap/>
            <w:vAlign w:val="bottom"/>
            <w:hideMark/>
          </w:tcPr>
          <w:p w14:paraId="255B6B80"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0.8501</w:t>
            </w:r>
          </w:p>
        </w:tc>
        <w:tc>
          <w:tcPr>
            <w:tcW w:w="1194" w:type="dxa"/>
            <w:tcBorders>
              <w:top w:val="nil"/>
              <w:left w:val="nil"/>
              <w:bottom w:val="single" w:sz="4" w:space="0" w:color="auto"/>
              <w:right w:val="single" w:sz="4" w:space="0" w:color="auto"/>
            </w:tcBorders>
            <w:shd w:val="clear" w:color="auto" w:fill="F2F2F2" w:themeFill="background1" w:themeFillShade="F2"/>
            <w:noWrap/>
            <w:vAlign w:val="bottom"/>
            <w:hideMark/>
          </w:tcPr>
          <w:p w14:paraId="3F37C5D9"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0.8500</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14:paraId="59ADE016"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0.8501</w:t>
            </w:r>
          </w:p>
        </w:tc>
      </w:tr>
      <w:tr w:rsidR="00F837E2" w:rsidRPr="00281428" w14:paraId="703D18ED" w14:textId="77777777" w:rsidTr="00A96162">
        <w:trPr>
          <w:trHeight w:val="380"/>
        </w:trPr>
        <w:tc>
          <w:tcPr>
            <w:tcW w:w="1138" w:type="dxa"/>
            <w:tcBorders>
              <w:top w:val="nil"/>
              <w:left w:val="single" w:sz="8" w:space="0" w:color="auto"/>
              <w:bottom w:val="single" w:sz="8" w:space="0" w:color="auto"/>
              <w:right w:val="nil"/>
            </w:tcBorders>
            <w:shd w:val="clear" w:color="auto" w:fill="F2F2F2" w:themeFill="background1" w:themeFillShade="F2"/>
            <w:noWrap/>
            <w:vAlign w:val="bottom"/>
            <w:hideMark/>
          </w:tcPr>
          <w:p w14:paraId="3D75ADAA"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Meter</w:t>
            </w:r>
          </w:p>
        </w:tc>
        <w:tc>
          <w:tcPr>
            <w:tcW w:w="2552" w:type="dxa"/>
            <w:tcBorders>
              <w:top w:val="nil"/>
              <w:left w:val="nil"/>
              <w:bottom w:val="single" w:sz="8" w:space="0" w:color="auto"/>
              <w:right w:val="nil"/>
            </w:tcBorders>
            <w:shd w:val="clear" w:color="auto" w:fill="F2F2F2" w:themeFill="background1" w:themeFillShade="F2"/>
            <w:noWrap/>
            <w:vAlign w:val="bottom"/>
            <w:hideMark/>
          </w:tcPr>
          <w:p w14:paraId="66941FDB"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temperature substance</w:t>
            </w:r>
          </w:p>
        </w:tc>
        <w:tc>
          <w:tcPr>
            <w:tcW w:w="1530" w:type="dxa"/>
            <w:tcBorders>
              <w:top w:val="nil"/>
              <w:left w:val="nil"/>
              <w:bottom w:val="single" w:sz="8" w:space="0" w:color="auto"/>
              <w:right w:val="nil"/>
            </w:tcBorders>
            <w:shd w:val="clear" w:color="auto" w:fill="F2F2F2" w:themeFill="background1" w:themeFillShade="F2"/>
            <w:noWrap/>
            <w:vAlign w:val="bottom"/>
            <w:hideMark/>
          </w:tcPr>
          <w:p w14:paraId="5B97113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bCs/>
                <w:color w:val="000000"/>
                <w:szCs w:val="20"/>
                <w:u w:val="single"/>
              </w:rPr>
              <w:t>t</w:t>
            </w:r>
            <w:r w:rsidRPr="00281428">
              <w:rPr>
                <w:rFonts w:eastAsia="Times New Roman"/>
                <w:b/>
                <w:color w:val="000000"/>
                <w:szCs w:val="20"/>
                <w:u w:val="single"/>
              </w:rPr>
              <w:t>product, °C</w:t>
            </w:r>
          </w:p>
        </w:tc>
        <w:tc>
          <w:tcPr>
            <w:tcW w:w="1080" w:type="dxa"/>
            <w:tcBorders>
              <w:top w:val="nil"/>
              <w:left w:val="single" w:sz="4" w:space="0" w:color="auto"/>
              <w:bottom w:val="single" w:sz="8" w:space="0" w:color="auto"/>
              <w:right w:val="single" w:sz="4" w:space="0" w:color="auto"/>
            </w:tcBorders>
            <w:shd w:val="clear" w:color="auto" w:fill="F2F2F2" w:themeFill="background1" w:themeFillShade="F2"/>
            <w:noWrap/>
            <w:vAlign w:val="bottom"/>
            <w:hideMark/>
          </w:tcPr>
          <w:p w14:paraId="4D7D3497"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21</w:t>
            </w:r>
          </w:p>
        </w:tc>
        <w:tc>
          <w:tcPr>
            <w:tcW w:w="966" w:type="dxa"/>
            <w:tcBorders>
              <w:top w:val="nil"/>
              <w:left w:val="nil"/>
              <w:bottom w:val="single" w:sz="8" w:space="0" w:color="auto"/>
              <w:right w:val="single" w:sz="4" w:space="0" w:color="auto"/>
            </w:tcBorders>
            <w:shd w:val="clear" w:color="auto" w:fill="F2F2F2" w:themeFill="background1" w:themeFillShade="F2"/>
            <w:noWrap/>
            <w:vAlign w:val="bottom"/>
            <w:hideMark/>
          </w:tcPr>
          <w:p w14:paraId="5757601E"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20.5</w:t>
            </w:r>
          </w:p>
        </w:tc>
        <w:tc>
          <w:tcPr>
            <w:tcW w:w="1194" w:type="dxa"/>
            <w:tcBorders>
              <w:top w:val="nil"/>
              <w:left w:val="nil"/>
              <w:bottom w:val="single" w:sz="8" w:space="0" w:color="auto"/>
              <w:right w:val="single" w:sz="4" w:space="0" w:color="auto"/>
            </w:tcBorders>
            <w:shd w:val="clear" w:color="auto" w:fill="F2F2F2" w:themeFill="background1" w:themeFillShade="F2"/>
            <w:noWrap/>
            <w:vAlign w:val="bottom"/>
            <w:hideMark/>
          </w:tcPr>
          <w:p w14:paraId="4E0F41E1"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20</w:t>
            </w:r>
          </w:p>
        </w:tc>
        <w:tc>
          <w:tcPr>
            <w:tcW w:w="1080" w:type="dxa"/>
            <w:tcBorders>
              <w:top w:val="nil"/>
              <w:left w:val="nil"/>
              <w:bottom w:val="single" w:sz="8" w:space="0" w:color="auto"/>
              <w:right w:val="single" w:sz="4" w:space="0" w:color="auto"/>
            </w:tcBorders>
            <w:shd w:val="clear" w:color="auto" w:fill="F2F2F2" w:themeFill="background1" w:themeFillShade="F2"/>
            <w:noWrap/>
            <w:vAlign w:val="bottom"/>
            <w:hideMark/>
          </w:tcPr>
          <w:p w14:paraId="3A5F2C8E"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19.5</w:t>
            </w:r>
          </w:p>
        </w:tc>
      </w:tr>
      <w:tr w:rsidR="00F837E2" w:rsidRPr="00281428" w14:paraId="0BFD2553" w14:textId="77777777" w:rsidTr="00A96162">
        <w:trPr>
          <w:trHeight w:val="290"/>
        </w:trPr>
        <w:tc>
          <w:tcPr>
            <w:tcW w:w="1138" w:type="dxa"/>
            <w:tcBorders>
              <w:top w:val="nil"/>
              <w:left w:val="single" w:sz="8" w:space="0" w:color="auto"/>
              <w:bottom w:val="nil"/>
              <w:right w:val="nil"/>
            </w:tcBorders>
            <w:shd w:val="clear" w:color="auto" w:fill="auto"/>
            <w:noWrap/>
            <w:vAlign w:val="bottom"/>
            <w:hideMark/>
          </w:tcPr>
          <w:p w14:paraId="72F23807"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Table</w:t>
            </w:r>
          </w:p>
        </w:tc>
        <w:tc>
          <w:tcPr>
            <w:tcW w:w="2552" w:type="dxa"/>
            <w:tcBorders>
              <w:top w:val="nil"/>
              <w:left w:val="nil"/>
              <w:bottom w:val="nil"/>
              <w:right w:val="nil"/>
            </w:tcBorders>
            <w:shd w:val="clear" w:color="auto" w:fill="auto"/>
            <w:noWrap/>
            <w:vAlign w:val="bottom"/>
            <w:hideMark/>
          </w:tcPr>
          <w:p w14:paraId="515C4F2A"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coefficient of expansion</w:t>
            </w:r>
          </w:p>
        </w:tc>
        <w:tc>
          <w:tcPr>
            <w:tcW w:w="1530" w:type="dxa"/>
            <w:tcBorders>
              <w:top w:val="nil"/>
              <w:left w:val="nil"/>
              <w:bottom w:val="nil"/>
              <w:right w:val="nil"/>
            </w:tcBorders>
            <w:shd w:val="clear" w:color="auto" w:fill="auto"/>
            <w:noWrap/>
            <w:vAlign w:val="bottom"/>
            <w:hideMark/>
          </w:tcPr>
          <w:p w14:paraId="5D55EA61"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alpha</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40D6933"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0.000830</w:t>
            </w:r>
          </w:p>
        </w:tc>
        <w:tc>
          <w:tcPr>
            <w:tcW w:w="966" w:type="dxa"/>
            <w:tcBorders>
              <w:top w:val="nil"/>
              <w:left w:val="nil"/>
              <w:bottom w:val="single" w:sz="4" w:space="0" w:color="auto"/>
              <w:right w:val="single" w:sz="4" w:space="0" w:color="auto"/>
            </w:tcBorders>
            <w:shd w:val="clear" w:color="auto" w:fill="auto"/>
            <w:noWrap/>
            <w:vAlign w:val="bottom"/>
            <w:hideMark/>
          </w:tcPr>
          <w:p w14:paraId="51899AD3"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0.000830</w:t>
            </w:r>
          </w:p>
        </w:tc>
        <w:tc>
          <w:tcPr>
            <w:tcW w:w="1194" w:type="dxa"/>
            <w:tcBorders>
              <w:top w:val="nil"/>
              <w:left w:val="nil"/>
              <w:bottom w:val="single" w:sz="4" w:space="0" w:color="auto"/>
              <w:right w:val="single" w:sz="4" w:space="0" w:color="auto"/>
            </w:tcBorders>
            <w:shd w:val="clear" w:color="auto" w:fill="auto"/>
            <w:noWrap/>
            <w:vAlign w:val="bottom"/>
            <w:hideMark/>
          </w:tcPr>
          <w:p w14:paraId="27056D91"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0.000830</w:t>
            </w:r>
          </w:p>
        </w:tc>
        <w:tc>
          <w:tcPr>
            <w:tcW w:w="1080" w:type="dxa"/>
            <w:tcBorders>
              <w:top w:val="nil"/>
              <w:left w:val="nil"/>
              <w:bottom w:val="single" w:sz="4" w:space="0" w:color="auto"/>
              <w:right w:val="single" w:sz="4" w:space="0" w:color="auto"/>
            </w:tcBorders>
            <w:shd w:val="clear" w:color="auto" w:fill="auto"/>
            <w:noWrap/>
            <w:vAlign w:val="bottom"/>
            <w:hideMark/>
          </w:tcPr>
          <w:p w14:paraId="16491025"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0.000830</w:t>
            </w:r>
          </w:p>
        </w:tc>
      </w:tr>
      <w:tr w:rsidR="00F837E2" w:rsidRPr="00281428" w14:paraId="1C93742D" w14:textId="77777777" w:rsidTr="00A96162">
        <w:trPr>
          <w:trHeight w:val="370"/>
        </w:trPr>
        <w:tc>
          <w:tcPr>
            <w:tcW w:w="1138" w:type="dxa"/>
            <w:tcBorders>
              <w:top w:val="nil"/>
              <w:left w:val="single" w:sz="8" w:space="0" w:color="auto"/>
              <w:bottom w:val="nil"/>
              <w:right w:val="nil"/>
            </w:tcBorders>
            <w:shd w:val="clear" w:color="auto" w:fill="auto"/>
            <w:noWrap/>
            <w:vAlign w:val="bottom"/>
            <w:hideMark/>
          </w:tcPr>
          <w:p w14:paraId="098D9861"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auto"/>
            <w:noWrap/>
            <w:vAlign w:val="bottom"/>
            <w:hideMark/>
          </w:tcPr>
          <w:p w14:paraId="181B6FB2"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reference temperature</w:t>
            </w:r>
          </w:p>
        </w:tc>
        <w:tc>
          <w:tcPr>
            <w:tcW w:w="1530" w:type="dxa"/>
            <w:tcBorders>
              <w:top w:val="nil"/>
              <w:left w:val="nil"/>
              <w:bottom w:val="nil"/>
              <w:right w:val="nil"/>
            </w:tcBorders>
            <w:shd w:val="clear" w:color="auto" w:fill="auto"/>
            <w:noWrap/>
            <w:vAlign w:val="bottom"/>
            <w:hideMark/>
          </w:tcPr>
          <w:p w14:paraId="6F98CAD1"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bCs/>
                <w:color w:val="000000"/>
                <w:szCs w:val="20"/>
                <w:u w:val="single"/>
              </w:rPr>
              <w:t>t</w:t>
            </w:r>
            <w:r w:rsidRPr="00281428">
              <w:rPr>
                <w:rFonts w:eastAsia="Times New Roman"/>
                <w:b/>
                <w:color w:val="000000"/>
                <w:szCs w:val="20"/>
                <w:u w:val="single"/>
              </w:rPr>
              <w:t>reference, °C</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3A994E2"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15.56</w:t>
            </w:r>
          </w:p>
        </w:tc>
        <w:tc>
          <w:tcPr>
            <w:tcW w:w="966" w:type="dxa"/>
            <w:tcBorders>
              <w:top w:val="nil"/>
              <w:left w:val="nil"/>
              <w:bottom w:val="single" w:sz="4" w:space="0" w:color="auto"/>
              <w:right w:val="single" w:sz="4" w:space="0" w:color="auto"/>
            </w:tcBorders>
            <w:shd w:val="clear" w:color="auto" w:fill="auto"/>
            <w:noWrap/>
            <w:vAlign w:val="bottom"/>
            <w:hideMark/>
          </w:tcPr>
          <w:p w14:paraId="2BC17DBE"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15.56</w:t>
            </w:r>
          </w:p>
        </w:tc>
        <w:tc>
          <w:tcPr>
            <w:tcW w:w="1194" w:type="dxa"/>
            <w:tcBorders>
              <w:top w:val="nil"/>
              <w:left w:val="nil"/>
              <w:bottom w:val="single" w:sz="4" w:space="0" w:color="auto"/>
              <w:right w:val="single" w:sz="4" w:space="0" w:color="auto"/>
            </w:tcBorders>
            <w:shd w:val="clear" w:color="auto" w:fill="auto"/>
            <w:noWrap/>
            <w:vAlign w:val="bottom"/>
            <w:hideMark/>
          </w:tcPr>
          <w:p w14:paraId="39019B1F"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15.56</w:t>
            </w:r>
          </w:p>
        </w:tc>
        <w:tc>
          <w:tcPr>
            <w:tcW w:w="1080" w:type="dxa"/>
            <w:tcBorders>
              <w:top w:val="nil"/>
              <w:left w:val="nil"/>
              <w:bottom w:val="single" w:sz="4" w:space="0" w:color="auto"/>
              <w:right w:val="single" w:sz="4" w:space="0" w:color="auto"/>
            </w:tcBorders>
            <w:shd w:val="clear" w:color="auto" w:fill="auto"/>
            <w:noWrap/>
            <w:vAlign w:val="bottom"/>
            <w:hideMark/>
          </w:tcPr>
          <w:p w14:paraId="0DA8B77A"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15.56</w:t>
            </w:r>
          </w:p>
        </w:tc>
      </w:tr>
      <w:tr w:rsidR="00F837E2" w:rsidRPr="00281428" w14:paraId="7F3D2FCB" w14:textId="77777777" w:rsidTr="00A96162">
        <w:trPr>
          <w:trHeight w:val="300"/>
        </w:trPr>
        <w:tc>
          <w:tcPr>
            <w:tcW w:w="1138" w:type="dxa"/>
            <w:tcBorders>
              <w:top w:val="nil"/>
              <w:left w:val="single" w:sz="8" w:space="0" w:color="auto"/>
              <w:bottom w:val="single" w:sz="8" w:space="0" w:color="auto"/>
              <w:right w:val="nil"/>
            </w:tcBorders>
            <w:shd w:val="clear" w:color="auto" w:fill="auto"/>
            <w:noWrap/>
            <w:vAlign w:val="bottom"/>
            <w:hideMark/>
          </w:tcPr>
          <w:p w14:paraId="5FDCA64E"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Table</w:t>
            </w:r>
          </w:p>
        </w:tc>
        <w:tc>
          <w:tcPr>
            <w:tcW w:w="2552" w:type="dxa"/>
            <w:tcBorders>
              <w:top w:val="nil"/>
              <w:left w:val="nil"/>
              <w:bottom w:val="single" w:sz="8" w:space="0" w:color="auto"/>
              <w:right w:val="nil"/>
            </w:tcBorders>
            <w:shd w:val="clear" w:color="auto" w:fill="auto"/>
            <w:noWrap/>
            <w:vAlign w:val="bottom"/>
            <w:hideMark/>
          </w:tcPr>
          <w:p w14:paraId="2EE4F4E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Viscosity Correction</w:t>
            </w:r>
          </w:p>
        </w:tc>
        <w:tc>
          <w:tcPr>
            <w:tcW w:w="1530" w:type="dxa"/>
            <w:tcBorders>
              <w:top w:val="nil"/>
              <w:left w:val="nil"/>
              <w:bottom w:val="single" w:sz="8" w:space="0" w:color="auto"/>
              <w:right w:val="nil"/>
            </w:tcBorders>
            <w:shd w:val="clear" w:color="auto" w:fill="auto"/>
            <w:noWrap/>
            <w:vAlign w:val="bottom"/>
            <w:hideMark/>
          </w:tcPr>
          <w:p w14:paraId="2092F67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g/cc</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14:paraId="4106ED55"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0.0003</w:t>
            </w:r>
          </w:p>
        </w:tc>
        <w:tc>
          <w:tcPr>
            <w:tcW w:w="966" w:type="dxa"/>
            <w:tcBorders>
              <w:top w:val="nil"/>
              <w:left w:val="nil"/>
              <w:bottom w:val="single" w:sz="8" w:space="0" w:color="auto"/>
              <w:right w:val="single" w:sz="4" w:space="0" w:color="auto"/>
            </w:tcBorders>
            <w:shd w:val="clear" w:color="auto" w:fill="auto"/>
            <w:noWrap/>
            <w:vAlign w:val="bottom"/>
            <w:hideMark/>
          </w:tcPr>
          <w:p w14:paraId="41CB9A24"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0.0003</w:t>
            </w:r>
          </w:p>
        </w:tc>
        <w:tc>
          <w:tcPr>
            <w:tcW w:w="1194" w:type="dxa"/>
            <w:tcBorders>
              <w:top w:val="nil"/>
              <w:left w:val="nil"/>
              <w:bottom w:val="single" w:sz="8" w:space="0" w:color="auto"/>
              <w:right w:val="single" w:sz="4" w:space="0" w:color="auto"/>
            </w:tcBorders>
            <w:shd w:val="clear" w:color="auto" w:fill="auto"/>
            <w:noWrap/>
            <w:vAlign w:val="bottom"/>
            <w:hideMark/>
          </w:tcPr>
          <w:p w14:paraId="3AE51CC3"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0.0003</w:t>
            </w:r>
          </w:p>
        </w:tc>
        <w:tc>
          <w:tcPr>
            <w:tcW w:w="1080" w:type="dxa"/>
            <w:tcBorders>
              <w:top w:val="nil"/>
              <w:left w:val="nil"/>
              <w:bottom w:val="single" w:sz="8" w:space="0" w:color="auto"/>
              <w:right w:val="single" w:sz="4" w:space="0" w:color="auto"/>
            </w:tcBorders>
            <w:shd w:val="clear" w:color="auto" w:fill="auto"/>
            <w:noWrap/>
            <w:vAlign w:val="bottom"/>
            <w:hideMark/>
          </w:tcPr>
          <w:p w14:paraId="028D3BD6"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0.0003</w:t>
            </w:r>
          </w:p>
        </w:tc>
      </w:tr>
      <w:tr w:rsidR="00F837E2" w:rsidRPr="00281428" w14:paraId="038954FE" w14:textId="77777777" w:rsidTr="00A96162">
        <w:trPr>
          <w:trHeight w:val="290"/>
        </w:trPr>
        <w:tc>
          <w:tcPr>
            <w:tcW w:w="1138" w:type="dxa"/>
            <w:tcBorders>
              <w:top w:val="nil"/>
              <w:left w:val="single" w:sz="8" w:space="0" w:color="auto"/>
              <w:bottom w:val="nil"/>
              <w:right w:val="nil"/>
            </w:tcBorders>
            <w:shd w:val="clear" w:color="auto" w:fill="D9D9D9" w:themeFill="background1" w:themeFillShade="D9"/>
            <w:noWrap/>
            <w:vAlign w:val="bottom"/>
            <w:hideMark/>
          </w:tcPr>
          <w:p w14:paraId="695F81A5"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Scale</w:t>
            </w:r>
          </w:p>
        </w:tc>
        <w:tc>
          <w:tcPr>
            <w:tcW w:w="2552" w:type="dxa"/>
            <w:tcBorders>
              <w:top w:val="nil"/>
              <w:left w:val="nil"/>
              <w:bottom w:val="nil"/>
              <w:right w:val="nil"/>
            </w:tcBorders>
            <w:shd w:val="clear" w:color="auto" w:fill="D9D9D9" w:themeFill="background1" w:themeFillShade="D9"/>
            <w:noWrap/>
            <w:vAlign w:val="bottom"/>
            <w:hideMark/>
          </w:tcPr>
          <w:p w14:paraId="0FFD944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total weight</w:t>
            </w:r>
          </w:p>
        </w:tc>
        <w:tc>
          <w:tcPr>
            <w:tcW w:w="1530" w:type="dxa"/>
            <w:tcBorders>
              <w:top w:val="nil"/>
              <w:left w:val="nil"/>
              <w:bottom w:val="nil"/>
              <w:right w:val="nil"/>
            </w:tcBorders>
            <w:shd w:val="clear" w:color="auto" w:fill="D9D9D9" w:themeFill="background1" w:themeFillShade="D9"/>
            <w:noWrap/>
            <w:vAlign w:val="bottom"/>
            <w:hideMark/>
          </w:tcPr>
          <w:p w14:paraId="0E2EFD08"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pounds</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ADD214"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7.113</w:t>
            </w:r>
          </w:p>
        </w:tc>
        <w:tc>
          <w:tcPr>
            <w:tcW w:w="966" w:type="dxa"/>
            <w:tcBorders>
              <w:top w:val="nil"/>
              <w:left w:val="nil"/>
              <w:bottom w:val="single" w:sz="4" w:space="0" w:color="auto"/>
              <w:right w:val="single" w:sz="4" w:space="0" w:color="auto"/>
            </w:tcBorders>
            <w:shd w:val="clear" w:color="auto" w:fill="D9D9D9" w:themeFill="background1" w:themeFillShade="D9"/>
            <w:noWrap/>
            <w:vAlign w:val="bottom"/>
            <w:hideMark/>
          </w:tcPr>
          <w:p w14:paraId="16612F9F"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7.113</w:t>
            </w:r>
          </w:p>
        </w:tc>
        <w:tc>
          <w:tcPr>
            <w:tcW w:w="1194" w:type="dxa"/>
            <w:tcBorders>
              <w:top w:val="nil"/>
              <w:left w:val="nil"/>
              <w:bottom w:val="single" w:sz="4" w:space="0" w:color="auto"/>
              <w:right w:val="single" w:sz="4" w:space="0" w:color="auto"/>
            </w:tcBorders>
            <w:shd w:val="clear" w:color="auto" w:fill="D9D9D9" w:themeFill="background1" w:themeFillShade="D9"/>
            <w:noWrap/>
            <w:vAlign w:val="bottom"/>
            <w:hideMark/>
          </w:tcPr>
          <w:p w14:paraId="296C9EE2"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7.120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7181FD0"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7.120</w:t>
            </w:r>
          </w:p>
        </w:tc>
      </w:tr>
      <w:tr w:rsidR="00F837E2" w:rsidRPr="00281428" w14:paraId="1FF5CF74" w14:textId="77777777" w:rsidTr="00A96162">
        <w:trPr>
          <w:trHeight w:val="290"/>
        </w:trPr>
        <w:tc>
          <w:tcPr>
            <w:tcW w:w="1138" w:type="dxa"/>
            <w:tcBorders>
              <w:top w:val="nil"/>
              <w:left w:val="single" w:sz="8" w:space="0" w:color="auto"/>
              <w:bottom w:val="nil"/>
              <w:right w:val="nil"/>
            </w:tcBorders>
            <w:shd w:val="clear" w:color="auto" w:fill="D9D9D9" w:themeFill="background1" w:themeFillShade="D9"/>
            <w:noWrap/>
            <w:vAlign w:val="bottom"/>
            <w:hideMark/>
          </w:tcPr>
          <w:p w14:paraId="468E535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Weight</w:t>
            </w:r>
          </w:p>
        </w:tc>
        <w:tc>
          <w:tcPr>
            <w:tcW w:w="2552" w:type="dxa"/>
            <w:tcBorders>
              <w:top w:val="nil"/>
              <w:left w:val="nil"/>
              <w:bottom w:val="nil"/>
              <w:right w:val="nil"/>
            </w:tcBorders>
            <w:shd w:val="clear" w:color="auto" w:fill="D9D9D9" w:themeFill="background1" w:themeFillShade="D9"/>
            <w:noWrap/>
            <w:vAlign w:val="bottom"/>
            <w:hideMark/>
          </w:tcPr>
          <w:p w14:paraId="5D20EE6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tare</w:t>
            </w:r>
          </w:p>
        </w:tc>
        <w:tc>
          <w:tcPr>
            <w:tcW w:w="1530" w:type="dxa"/>
            <w:tcBorders>
              <w:top w:val="nil"/>
              <w:left w:val="nil"/>
              <w:bottom w:val="nil"/>
              <w:right w:val="nil"/>
            </w:tcBorders>
            <w:shd w:val="clear" w:color="auto" w:fill="D9D9D9" w:themeFill="background1" w:themeFillShade="D9"/>
            <w:noWrap/>
            <w:vAlign w:val="bottom"/>
            <w:hideMark/>
          </w:tcPr>
          <w:p w14:paraId="5365BFA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pounds</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17731C8"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w:t>
            </w:r>
          </w:p>
        </w:tc>
        <w:tc>
          <w:tcPr>
            <w:tcW w:w="966" w:type="dxa"/>
            <w:tcBorders>
              <w:top w:val="nil"/>
              <w:left w:val="nil"/>
              <w:bottom w:val="single" w:sz="4" w:space="0" w:color="auto"/>
              <w:right w:val="single" w:sz="4" w:space="0" w:color="auto"/>
            </w:tcBorders>
            <w:shd w:val="clear" w:color="auto" w:fill="D9D9D9" w:themeFill="background1" w:themeFillShade="D9"/>
            <w:noWrap/>
            <w:vAlign w:val="bottom"/>
            <w:hideMark/>
          </w:tcPr>
          <w:p w14:paraId="54BD88A4"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w:t>
            </w:r>
          </w:p>
        </w:tc>
        <w:tc>
          <w:tcPr>
            <w:tcW w:w="1194" w:type="dxa"/>
            <w:tcBorders>
              <w:top w:val="nil"/>
              <w:left w:val="nil"/>
              <w:bottom w:val="single" w:sz="4" w:space="0" w:color="auto"/>
              <w:right w:val="single" w:sz="4" w:space="0" w:color="auto"/>
            </w:tcBorders>
            <w:shd w:val="clear" w:color="auto" w:fill="D9D9D9" w:themeFill="background1" w:themeFillShade="D9"/>
            <w:noWrap/>
            <w:vAlign w:val="bottom"/>
            <w:hideMark/>
          </w:tcPr>
          <w:p w14:paraId="062FE442"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6546D66" w14:textId="77777777" w:rsidR="00F837E2" w:rsidRPr="00281428" w:rsidRDefault="00F837E2" w:rsidP="00805E7F">
            <w:pPr>
              <w:keepNext/>
              <w:keepLines/>
              <w:spacing w:after="60"/>
              <w:jc w:val="right"/>
              <w:rPr>
                <w:rFonts w:eastAsia="Times New Roman"/>
                <w:b/>
                <w:bCs/>
                <w:color w:val="000000"/>
                <w:szCs w:val="20"/>
                <w:u w:val="single"/>
              </w:rPr>
            </w:pPr>
            <w:r w:rsidRPr="00281428">
              <w:rPr>
                <w:rFonts w:eastAsia="Times New Roman"/>
                <w:b/>
                <w:bCs/>
                <w:color w:val="000000"/>
                <w:szCs w:val="20"/>
                <w:u w:val="single"/>
              </w:rPr>
              <w:t>0.000</w:t>
            </w:r>
          </w:p>
        </w:tc>
      </w:tr>
      <w:tr w:rsidR="00F837E2" w:rsidRPr="00281428" w14:paraId="49134832" w14:textId="77777777" w:rsidTr="00A96162">
        <w:trPr>
          <w:trHeight w:val="300"/>
        </w:trPr>
        <w:tc>
          <w:tcPr>
            <w:tcW w:w="1138" w:type="dxa"/>
            <w:tcBorders>
              <w:top w:val="nil"/>
              <w:left w:val="single" w:sz="8" w:space="0" w:color="auto"/>
              <w:bottom w:val="single" w:sz="8" w:space="0" w:color="auto"/>
              <w:right w:val="nil"/>
            </w:tcBorders>
            <w:shd w:val="clear" w:color="auto" w:fill="auto"/>
            <w:noWrap/>
            <w:vAlign w:val="bottom"/>
            <w:hideMark/>
          </w:tcPr>
          <w:p w14:paraId="3424501C"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single" w:sz="8" w:space="0" w:color="auto"/>
              <w:right w:val="nil"/>
            </w:tcBorders>
            <w:shd w:val="clear" w:color="auto" w:fill="auto"/>
            <w:noWrap/>
            <w:vAlign w:val="bottom"/>
            <w:hideMark/>
          </w:tcPr>
          <w:p w14:paraId="70221A23"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net weight</w:t>
            </w:r>
          </w:p>
        </w:tc>
        <w:tc>
          <w:tcPr>
            <w:tcW w:w="1530" w:type="dxa"/>
            <w:tcBorders>
              <w:top w:val="nil"/>
              <w:left w:val="nil"/>
              <w:bottom w:val="single" w:sz="8" w:space="0" w:color="auto"/>
              <w:right w:val="nil"/>
            </w:tcBorders>
            <w:shd w:val="clear" w:color="auto" w:fill="auto"/>
            <w:noWrap/>
            <w:vAlign w:val="bottom"/>
            <w:hideMark/>
          </w:tcPr>
          <w:p w14:paraId="675193FE"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pounds</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14:paraId="3FA76B0A"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7.113</w:t>
            </w:r>
          </w:p>
        </w:tc>
        <w:tc>
          <w:tcPr>
            <w:tcW w:w="966" w:type="dxa"/>
            <w:tcBorders>
              <w:top w:val="nil"/>
              <w:left w:val="nil"/>
              <w:bottom w:val="single" w:sz="8" w:space="0" w:color="auto"/>
              <w:right w:val="single" w:sz="4" w:space="0" w:color="auto"/>
            </w:tcBorders>
            <w:shd w:val="clear" w:color="auto" w:fill="auto"/>
            <w:noWrap/>
            <w:vAlign w:val="bottom"/>
            <w:hideMark/>
          </w:tcPr>
          <w:p w14:paraId="14C22A77"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7.113</w:t>
            </w:r>
          </w:p>
        </w:tc>
        <w:tc>
          <w:tcPr>
            <w:tcW w:w="1194" w:type="dxa"/>
            <w:tcBorders>
              <w:top w:val="nil"/>
              <w:left w:val="nil"/>
              <w:bottom w:val="single" w:sz="8" w:space="0" w:color="auto"/>
              <w:right w:val="single" w:sz="4" w:space="0" w:color="auto"/>
            </w:tcBorders>
            <w:shd w:val="clear" w:color="auto" w:fill="auto"/>
            <w:noWrap/>
            <w:vAlign w:val="bottom"/>
            <w:hideMark/>
          </w:tcPr>
          <w:p w14:paraId="77E3C3C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7.120</w:t>
            </w:r>
          </w:p>
        </w:tc>
        <w:tc>
          <w:tcPr>
            <w:tcW w:w="1080" w:type="dxa"/>
            <w:tcBorders>
              <w:top w:val="nil"/>
              <w:left w:val="nil"/>
              <w:bottom w:val="single" w:sz="8" w:space="0" w:color="auto"/>
              <w:right w:val="single" w:sz="4" w:space="0" w:color="auto"/>
            </w:tcBorders>
            <w:shd w:val="clear" w:color="auto" w:fill="auto"/>
            <w:noWrap/>
            <w:vAlign w:val="bottom"/>
            <w:hideMark/>
          </w:tcPr>
          <w:p w14:paraId="77DBDF52"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7.120</w:t>
            </w:r>
          </w:p>
        </w:tc>
      </w:tr>
      <w:tr w:rsidR="00F837E2" w:rsidRPr="00281428" w14:paraId="7E7E8881" w14:textId="77777777" w:rsidTr="00A96162">
        <w:trPr>
          <w:trHeight w:val="300"/>
        </w:trPr>
        <w:tc>
          <w:tcPr>
            <w:tcW w:w="9540" w:type="dxa"/>
            <w:gridSpan w:val="7"/>
            <w:tcBorders>
              <w:top w:val="nil"/>
              <w:left w:val="single" w:sz="8" w:space="0" w:color="auto"/>
              <w:bottom w:val="single" w:sz="8" w:space="0" w:color="auto"/>
              <w:right w:val="single" w:sz="4" w:space="0" w:color="auto"/>
            </w:tcBorders>
            <w:shd w:val="clear" w:color="auto" w:fill="0D0D0D" w:themeFill="text1" w:themeFillTint="F2"/>
            <w:noWrap/>
            <w:vAlign w:val="bottom"/>
          </w:tcPr>
          <w:p w14:paraId="760D7CED" w14:textId="77777777" w:rsidR="00F837E2" w:rsidRPr="00281428" w:rsidRDefault="00F837E2" w:rsidP="00805E7F">
            <w:pPr>
              <w:keepNext/>
              <w:keepLines/>
              <w:spacing w:after="0"/>
              <w:jc w:val="right"/>
              <w:rPr>
                <w:rFonts w:eastAsia="Times New Roman"/>
                <w:b/>
                <w:szCs w:val="20"/>
                <w:u w:val="single"/>
              </w:rPr>
            </w:pPr>
          </w:p>
        </w:tc>
      </w:tr>
      <w:tr w:rsidR="00F837E2" w:rsidRPr="00281428" w14:paraId="5D8F57D5" w14:textId="77777777" w:rsidTr="00A96162">
        <w:trPr>
          <w:trHeight w:val="300"/>
        </w:trPr>
        <w:tc>
          <w:tcPr>
            <w:tcW w:w="1138" w:type="dxa"/>
            <w:tcBorders>
              <w:top w:val="nil"/>
              <w:left w:val="nil"/>
              <w:bottom w:val="nil"/>
              <w:right w:val="nil"/>
            </w:tcBorders>
            <w:shd w:val="clear" w:color="auto" w:fill="D9D9D9" w:themeFill="background1" w:themeFillShade="D9"/>
            <w:noWrap/>
            <w:vAlign w:val="bottom"/>
            <w:hideMark/>
          </w:tcPr>
          <w:p w14:paraId="6BA257DA"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4E112581"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Apparent Density</w:t>
            </w:r>
          </w:p>
        </w:tc>
        <w:tc>
          <w:tcPr>
            <w:tcW w:w="1530" w:type="dxa"/>
            <w:tcBorders>
              <w:top w:val="nil"/>
              <w:left w:val="nil"/>
              <w:bottom w:val="nil"/>
              <w:right w:val="nil"/>
            </w:tcBorders>
            <w:shd w:val="clear" w:color="auto" w:fill="D9D9D9" w:themeFill="background1" w:themeFillShade="D9"/>
            <w:noWrap/>
            <w:vAlign w:val="bottom"/>
            <w:hideMark/>
          </w:tcPr>
          <w:p w14:paraId="02D8A181"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080" w:type="dxa"/>
            <w:tcBorders>
              <w:top w:val="nil"/>
              <w:left w:val="nil"/>
              <w:bottom w:val="nil"/>
              <w:right w:val="nil"/>
            </w:tcBorders>
            <w:shd w:val="clear" w:color="auto" w:fill="D9D9D9" w:themeFill="background1" w:themeFillShade="D9"/>
            <w:noWrap/>
            <w:vAlign w:val="bottom"/>
            <w:hideMark/>
          </w:tcPr>
          <w:p w14:paraId="4BB88AF5"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0.8531</w:t>
            </w:r>
          </w:p>
        </w:tc>
        <w:tc>
          <w:tcPr>
            <w:tcW w:w="966" w:type="dxa"/>
            <w:tcBorders>
              <w:top w:val="nil"/>
              <w:left w:val="nil"/>
              <w:bottom w:val="nil"/>
              <w:right w:val="nil"/>
            </w:tcBorders>
            <w:shd w:val="clear" w:color="auto" w:fill="D9D9D9" w:themeFill="background1" w:themeFillShade="D9"/>
            <w:noWrap/>
            <w:vAlign w:val="bottom"/>
            <w:hideMark/>
          </w:tcPr>
          <w:p w14:paraId="01B7C296"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0.8528</w:t>
            </w:r>
          </w:p>
        </w:tc>
        <w:tc>
          <w:tcPr>
            <w:tcW w:w="1194" w:type="dxa"/>
            <w:tcBorders>
              <w:top w:val="nil"/>
              <w:left w:val="nil"/>
              <w:bottom w:val="nil"/>
              <w:right w:val="nil"/>
            </w:tcBorders>
            <w:shd w:val="clear" w:color="auto" w:fill="D9D9D9" w:themeFill="background1" w:themeFillShade="D9"/>
            <w:noWrap/>
            <w:vAlign w:val="bottom"/>
            <w:hideMark/>
          </w:tcPr>
          <w:p w14:paraId="01B095FD"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0.8526</w:t>
            </w:r>
          </w:p>
        </w:tc>
        <w:tc>
          <w:tcPr>
            <w:tcW w:w="1080" w:type="dxa"/>
            <w:tcBorders>
              <w:top w:val="nil"/>
              <w:left w:val="nil"/>
              <w:bottom w:val="nil"/>
              <w:right w:val="nil"/>
            </w:tcBorders>
            <w:shd w:val="clear" w:color="auto" w:fill="D9D9D9" w:themeFill="background1" w:themeFillShade="D9"/>
            <w:noWrap/>
            <w:vAlign w:val="bottom"/>
            <w:hideMark/>
          </w:tcPr>
          <w:p w14:paraId="6E76C5CE"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0.8521</w:t>
            </w:r>
          </w:p>
        </w:tc>
      </w:tr>
      <w:tr w:rsidR="00F837E2" w:rsidRPr="00281428" w14:paraId="34D9BEF8" w14:textId="77777777" w:rsidTr="00A96162">
        <w:trPr>
          <w:trHeight w:val="290"/>
        </w:trPr>
        <w:tc>
          <w:tcPr>
            <w:tcW w:w="1138" w:type="dxa"/>
            <w:tcBorders>
              <w:top w:val="nil"/>
              <w:left w:val="nil"/>
              <w:bottom w:val="nil"/>
              <w:right w:val="nil"/>
            </w:tcBorders>
            <w:shd w:val="clear" w:color="auto" w:fill="D9D9D9" w:themeFill="background1" w:themeFillShade="D9"/>
            <w:noWrap/>
            <w:vAlign w:val="bottom"/>
            <w:hideMark/>
          </w:tcPr>
          <w:p w14:paraId="5F295D38"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50EA1B3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Test Package Content</w:t>
            </w:r>
          </w:p>
        </w:tc>
        <w:tc>
          <w:tcPr>
            <w:tcW w:w="153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4021E537"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Gallons</w:t>
            </w:r>
          </w:p>
        </w:tc>
        <w:tc>
          <w:tcPr>
            <w:tcW w:w="10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6F635495"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0.999</w:t>
            </w:r>
          </w:p>
        </w:tc>
        <w:tc>
          <w:tcPr>
            <w:tcW w:w="96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50B0BDA8"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0.999</w:t>
            </w:r>
          </w:p>
        </w:tc>
        <w:tc>
          <w:tcPr>
            <w:tcW w:w="1194"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2768B4AB"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1.001</w:t>
            </w:r>
          </w:p>
        </w:tc>
        <w:tc>
          <w:tcPr>
            <w:tcW w:w="10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76E7C767"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1.001</w:t>
            </w:r>
          </w:p>
        </w:tc>
      </w:tr>
      <w:tr w:rsidR="00F837E2" w:rsidRPr="00281428" w14:paraId="47B111EA" w14:textId="77777777" w:rsidTr="00A96162">
        <w:trPr>
          <w:trHeight w:val="300"/>
        </w:trPr>
        <w:tc>
          <w:tcPr>
            <w:tcW w:w="1138" w:type="dxa"/>
            <w:tcBorders>
              <w:top w:val="nil"/>
              <w:left w:val="nil"/>
              <w:bottom w:val="nil"/>
              <w:right w:val="nil"/>
            </w:tcBorders>
            <w:shd w:val="clear" w:color="auto" w:fill="D9D9D9" w:themeFill="background1" w:themeFillShade="D9"/>
            <w:noWrap/>
            <w:vAlign w:val="bottom"/>
            <w:hideMark/>
          </w:tcPr>
          <w:p w14:paraId="207FF003"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6727543E"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53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6AD7AE5B"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over/short(+/-)</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6F48BF1C"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w:t>
            </w:r>
          </w:p>
        </w:tc>
        <w:tc>
          <w:tcPr>
            <w:tcW w:w="966" w:type="dxa"/>
            <w:tcBorders>
              <w:top w:val="nil"/>
              <w:left w:val="nil"/>
              <w:bottom w:val="single" w:sz="8" w:space="0" w:color="auto"/>
              <w:right w:val="single" w:sz="4" w:space="0" w:color="auto"/>
            </w:tcBorders>
            <w:shd w:val="clear" w:color="auto" w:fill="D9D9D9" w:themeFill="background1" w:themeFillShade="D9"/>
            <w:noWrap/>
            <w:vAlign w:val="bottom"/>
            <w:hideMark/>
          </w:tcPr>
          <w:p w14:paraId="54D87E4C"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w:t>
            </w:r>
          </w:p>
        </w:tc>
        <w:tc>
          <w:tcPr>
            <w:tcW w:w="1194" w:type="dxa"/>
            <w:tcBorders>
              <w:top w:val="nil"/>
              <w:left w:val="nil"/>
              <w:bottom w:val="single" w:sz="8" w:space="0" w:color="auto"/>
              <w:right w:val="single" w:sz="4" w:space="0" w:color="auto"/>
            </w:tcBorders>
            <w:shd w:val="clear" w:color="auto" w:fill="D9D9D9" w:themeFill="background1" w:themeFillShade="D9"/>
            <w:noWrap/>
            <w:vAlign w:val="bottom"/>
            <w:hideMark/>
          </w:tcPr>
          <w:p w14:paraId="1071FD75"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00152ECD"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w:t>
            </w:r>
          </w:p>
        </w:tc>
      </w:tr>
      <w:tr w:rsidR="00F837E2" w:rsidRPr="00281428" w14:paraId="1F0FEC88" w14:textId="77777777" w:rsidTr="00A96162">
        <w:trPr>
          <w:trHeight w:val="290"/>
        </w:trPr>
        <w:tc>
          <w:tcPr>
            <w:tcW w:w="1138" w:type="dxa"/>
            <w:tcBorders>
              <w:top w:val="nil"/>
              <w:left w:val="nil"/>
              <w:bottom w:val="nil"/>
              <w:right w:val="nil"/>
            </w:tcBorders>
            <w:shd w:val="clear" w:color="auto" w:fill="D9D9D9" w:themeFill="background1" w:themeFillShade="D9"/>
            <w:noWrap/>
            <w:vAlign w:val="bottom"/>
            <w:hideMark/>
          </w:tcPr>
          <w:p w14:paraId="6F0914A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4A6924B4" w14:textId="77777777" w:rsidR="00F837E2" w:rsidRPr="00281428" w:rsidRDefault="00F837E2" w:rsidP="00805E7F">
            <w:pPr>
              <w:keepNext/>
              <w:keepLines/>
              <w:spacing w:after="60"/>
              <w:rPr>
                <w:rFonts w:eastAsia="Times New Roman"/>
                <w:b/>
                <w:i/>
                <w:iCs/>
                <w:color w:val="000000"/>
                <w:szCs w:val="20"/>
                <w:u w:val="single"/>
              </w:rPr>
            </w:pPr>
            <w:r w:rsidRPr="00281428">
              <w:rPr>
                <w:rFonts w:eastAsia="Times New Roman"/>
                <w:b/>
                <w:i/>
                <w:iCs/>
                <w:color w:val="000000"/>
                <w:szCs w:val="20"/>
                <w:u w:val="single"/>
              </w:rPr>
              <w:t>calculated from above net wt</w:t>
            </w:r>
          </w:p>
        </w:tc>
        <w:tc>
          <w:tcPr>
            <w:tcW w:w="153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3EB1DA7E"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fluid ounces</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817EA17"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127.9</w:t>
            </w:r>
          </w:p>
        </w:tc>
        <w:tc>
          <w:tcPr>
            <w:tcW w:w="966" w:type="dxa"/>
            <w:tcBorders>
              <w:top w:val="nil"/>
              <w:left w:val="nil"/>
              <w:bottom w:val="single" w:sz="4" w:space="0" w:color="auto"/>
              <w:right w:val="single" w:sz="4" w:space="0" w:color="auto"/>
            </w:tcBorders>
            <w:shd w:val="clear" w:color="auto" w:fill="D9D9D9" w:themeFill="background1" w:themeFillShade="D9"/>
            <w:noWrap/>
            <w:vAlign w:val="bottom"/>
            <w:hideMark/>
          </w:tcPr>
          <w:p w14:paraId="587C57C9"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127.9</w:t>
            </w:r>
          </w:p>
        </w:tc>
        <w:tc>
          <w:tcPr>
            <w:tcW w:w="1194" w:type="dxa"/>
            <w:tcBorders>
              <w:top w:val="nil"/>
              <w:left w:val="nil"/>
              <w:bottom w:val="single" w:sz="4" w:space="0" w:color="auto"/>
              <w:right w:val="single" w:sz="4" w:space="0" w:color="auto"/>
            </w:tcBorders>
            <w:shd w:val="clear" w:color="auto" w:fill="D9D9D9" w:themeFill="background1" w:themeFillShade="D9"/>
            <w:noWrap/>
            <w:vAlign w:val="bottom"/>
            <w:hideMark/>
          </w:tcPr>
          <w:p w14:paraId="35409548"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128.1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09ABCE24"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128.2</w:t>
            </w:r>
          </w:p>
        </w:tc>
      </w:tr>
      <w:tr w:rsidR="00F837E2" w:rsidRPr="00281428" w14:paraId="77E95F2F" w14:textId="77777777" w:rsidTr="00A96162">
        <w:trPr>
          <w:trHeight w:val="300"/>
        </w:trPr>
        <w:tc>
          <w:tcPr>
            <w:tcW w:w="1138" w:type="dxa"/>
            <w:tcBorders>
              <w:top w:val="nil"/>
              <w:left w:val="nil"/>
              <w:bottom w:val="nil"/>
              <w:right w:val="nil"/>
            </w:tcBorders>
            <w:shd w:val="clear" w:color="auto" w:fill="D9D9D9" w:themeFill="background1" w:themeFillShade="D9"/>
            <w:noWrap/>
            <w:vAlign w:val="bottom"/>
            <w:hideMark/>
          </w:tcPr>
          <w:p w14:paraId="40F1F2C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1CFA8552" w14:textId="77777777" w:rsidR="00F837E2" w:rsidRPr="00281428" w:rsidRDefault="00F837E2" w:rsidP="00805E7F">
            <w:pPr>
              <w:keepNext/>
              <w:keepLines/>
              <w:spacing w:after="60"/>
              <w:rPr>
                <w:rFonts w:eastAsia="Times New Roman"/>
                <w:b/>
                <w:i/>
                <w:iCs/>
                <w:color w:val="000000"/>
                <w:szCs w:val="20"/>
                <w:u w:val="single"/>
              </w:rPr>
            </w:pPr>
            <w:r w:rsidRPr="00281428">
              <w:rPr>
                <w:rFonts w:eastAsia="Times New Roman"/>
                <w:b/>
                <w:i/>
                <w:iCs/>
                <w:color w:val="000000"/>
                <w:szCs w:val="20"/>
                <w:u w:val="single"/>
              </w:rPr>
              <w:t> </w:t>
            </w:r>
          </w:p>
        </w:tc>
        <w:tc>
          <w:tcPr>
            <w:tcW w:w="153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51D95EE6"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over/short(+/-)</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1B1A7BAB"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-0.1</w:t>
            </w:r>
          </w:p>
        </w:tc>
        <w:tc>
          <w:tcPr>
            <w:tcW w:w="966" w:type="dxa"/>
            <w:tcBorders>
              <w:top w:val="nil"/>
              <w:left w:val="nil"/>
              <w:bottom w:val="single" w:sz="8" w:space="0" w:color="auto"/>
              <w:right w:val="single" w:sz="4" w:space="0" w:color="auto"/>
            </w:tcBorders>
            <w:shd w:val="clear" w:color="auto" w:fill="D9D9D9" w:themeFill="background1" w:themeFillShade="D9"/>
            <w:noWrap/>
            <w:vAlign w:val="bottom"/>
            <w:hideMark/>
          </w:tcPr>
          <w:p w14:paraId="620707FD"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-0.1</w:t>
            </w:r>
          </w:p>
        </w:tc>
        <w:tc>
          <w:tcPr>
            <w:tcW w:w="1194" w:type="dxa"/>
            <w:tcBorders>
              <w:top w:val="nil"/>
              <w:left w:val="nil"/>
              <w:bottom w:val="single" w:sz="8" w:space="0" w:color="auto"/>
              <w:right w:val="single" w:sz="4" w:space="0" w:color="auto"/>
            </w:tcBorders>
            <w:shd w:val="clear" w:color="auto" w:fill="D9D9D9" w:themeFill="background1" w:themeFillShade="D9"/>
            <w:noWrap/>
            <w:vAlign w:val="bottom"/>
            <w:hideMark/>
          </w:tcPr>
          <w:p w14:paraId="42CA6FF1"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0.1</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6B355421"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0.2</w:t>
            </w:r>
          </w:p>
        </w:tc>
      </w:tr>
      <w:tr w:rsidR="00F837E2" w:rsidRPr="00281428" w14:paraId="1D4D9D9D" w14:textId="77777777" w:rsidTr="00A96162">
        <w:trPr>
          <w:trHeight w:val="290"/>
        </w:trPr>
        <w:tc>
          <w:tcPr>
            <w:tcW w:w="1138" w:type="dxa"/>
            <w:tcBorders>
              <w:top w:val="nil"/>
              <w:left w:val="nil"/>
              <w:bottom w:val="nil"/>
              <w:right w:val="nil"/>
            </w:tcBorders>
            <w:shd w:val="clear" w:color="auto" w:fill="D9D9D9" w:themeFill="background1" w:themeFillShade="D9"/>
            <w:noWrap/>
            <w:vAlign w:val="bottom"/>
            <w:hideMark/>
          </w:tcPr>
          <w:p w14:paraId="4EF58F2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3D8289F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53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53F4842D"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ml</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67FA74F"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3782</w:t>
            </w:r>
          </w:p>
        </w:tc>
        <w:tc>
          <w:tcPr>
            <w:tcW w:w="966" w:type="dxa"/>
            <w:tcBorders>
              <w:top w:val="nil"/>
              <w:left w:val="nil"/>
              <w:bottom w:val="single" w:sz="4" w:space="0" w:color="auto"/>
              <w:right w:val="single" w:sz="4" w:space="0" w:color="auto"/>
            </w:tcBorders>
            <w:shd w:val="clear" w:color="auto" w:fill="D9D9D9" w:themeFill="background1" w:themeFillShade="D9"/>
            <w:noWrap/>
            <w:vAlign w:val="bottom"/>
            <w:hideMark/>
          </w:tcPr>
          <w:p w14:paraId="4A42704B"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3783</w:t>
            </w:r>
          </w:p>
        </w:tc>
        <w:tc>
          <w:tcPr>
            <w:tcW w:w="1194" w:type="dxa"/>
            <w:tcBorders>
              <w:top w:val="nil"/>
              <w:left w:val="nil"/>
              <w:bottom w:val="single" w:sz="4" w:space="0" w:color="auto"/>
              <w:right w:val="single" w:sz="4" w:space="0" w:color="auto"/>
            </w:tcBorders>
            <w:shd w:val="clear" w:color="auto" w:fill="D9D9D9" w:themeFill="background1" w:themeFillShade="D9"/>
            <w:noWrap/>
            <w:vAlign w:val="bottom"/>
            <w:hideMark/>
          </w:tcPr>
          <w:p w14:paraId="71DACAFB"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3788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1A9E1F0"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3790</w:t>
            </w:r>
          </w:p>
        </w:tc>
      </w:tr>
      <w:tr w:rsidR="00F837E2" w:rsidRPr="00281428" w14:paraId="1BA061B3" w14:textId="77777777" w:rsidTr="00A96162">
        <w:trPr>
          <w:trHeight w:val="300"/>
        </w:trPr>
        <w:tc>
          <w:tcPr>
            <w:tcW w:w="1138" w:type="dxa"/>
            <w:tcBorders>
              <w:top w:val="nil"/>
              <w:left w:val="nil"/>
              <w:bottom w:val="nil"/>
              <w:right w:val="nil"/>
            </w:tcBorders>
            <w:shd w:val="clear" w:color="auto" w:fill="D9D9D9" w:themeFill="background1" w:themeFillShade="D9"/>
            <w:noWrap/>
            <w:vAlign w:val="bottom"/>
            <w:hideMark/>
          </w:tcPr>
          <w:p w14:paraId="45A45964"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4D06248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53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7FB30DCD"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over/short(+/-)</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1325605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-3</w:t>
            </w:r>
          </w:p>
        </w:tc>
        <w:tc>
          <w:tcPr>
            <w:tcW w:w="966" w:type="dxa"/>
            <w:tcBorders>
              <w:top w:val="nil"/>
              <w:left w:val="nil"/>
              <w:bottom w:val="single" w:sz="8" w:space="0" w:color="auto"/>
              <w:right w:val="single" w:sz="4" w:space="0" w:color="auto"/>
            </w:tcBorders>
            <w:shd w:val="clear" w:color="auto" w:fill="D9D9D9" w:themeFill="background1" w:themeFillShade="D9"/>
            <w:noWrap/>
            <w:vAlign w:val="bottom"/>
            <w:hideMark/>
          </w:tcPr>
          <w:p w14:paraId="1BEEC965"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-2</w:t>
            </w:r>
          </w:p>
        </w:tc>
        <w:tc>
          <w:tcPr>
            <w:tcW w:w="1194" w:type="dxa"/>
            <w:tcBorders>
              <w:top w:val="nil"/>
              <w:left w:val="nil"/>
              <w:bottom w:val="single" w:sz="8" w:space="0" w:color="auto"/>
              <w:right w:val="single" w:sz="4" w:space="0" w:color="auto"/>
            </w:tcBorders>
            <w:shd w:val="clear" w:color="auto" w:fill="D9D9D9" w:themeFill="background1" w:themeFillShade="D9"/>
            <w:noWrap/>
            <w:vAlign w:val="bottom"/>
            <w:hideMark/>
          </w:tcPr>
          <w:p w14:paraId="32B0F9F7"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3</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4A723D2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5</w:t>
            </w:r>
          </w:p>
        </w:tc>
      </w:tr>
      <w:tr w:rsidR="00F837E2" w:rsidRPr="00281428" w14:paraId="65FB6BCF" w14:textId="77777777" w:rsidTr="00A96162">
        <w:trPr>
          <w:trHeight w:val="290"/>
        </w:trPr>
        <w:tc>
          <w:tcPr>
            <w:tcW w:w="1138" w:type="dxa"/>
            <w:tcBorders>
              <w:top w:val="nil"/>
              <w:left w:val="nil"/>
              <w:bottom w:val="nil"/>
              <w:right w:val="nil"/>
            </w:tcBorders>
            <w:shd w:val="clear" w:color="auto" w:fill="D9D9D9" w:themeFill="background1" w:themeFillShade="D9"/>
            <w:noWrap/>
            <w:vAlign w:val="bottom"/>
            <w:hideMark/>
          </w:tcPr>
          <w:p w14:paraId="72D0DEC6"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51FF4E76"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53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4A71DA83"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liter</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0CD89EAC"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3.782</w:t>
            </w:r>
          </w:p>
        </w:tc>
        <w:tc>
          <w:tcPr>
            <w:tcW w:w="966" w:type="dxa"/>
            <w:tcBorders>
              <w:top w:val="nil"/>
              <w:left w:val="nil"/>
              <w:bottom w:val="single" w:sz="4" w:space="0" w:color="auto"/>
              <w:right w:val="single" w:sz="4" w:space="0" w:color="auto"/>
            </w:tcBorders>
            <w:shd w:val="clear" w:color="auto" w:fill="D9D9D9" w:themeFill="background1" w:themeFillShade="D9"/>
            <w:noWrap/>
            <w:vAlign w:val="bottom"/>
            <w:hideMark/>
          </w:tcPr>
          <w:p w14:paraId="6D4BE01C"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3.783</w:t>
            </w:r>
          </w:p>
        </w:tc>
        <w:tc>
          <w:tcPr>
            <w:tcW w:w="1194" w:type="dxa"/>
            <w:tcBorders>
              <w:top w:val="nil"/>
              <w:left w:val="nil"/>
              <w:bottom w:val="single" w:sz="4" w:space="0" w:color="auto"/>
              <w:right w:val="single" w:sz="4" w:space="0" w:color="auto"/>
            </w:tcBorders>
            <w:shd w:val="clear" w:color="auto" w:fill="D9D9D9" w:themeFill="background1" w:themeFillShade="D9"/>
            <w:noWrap/>
            <w:vAlign w:val="bottom"/>
            <w:hideMark/>
          </w:tcPr>
          <w:p w14:paraId="12E171C9"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3.788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DD6D6CD" w14:textId="77777777" w:rsidR="00F837E2" w:rsidRPr="00281428" w:rsidRDefault="00F837E2" w:rsidP="00805E7F">
            <w:pPr>
              <w:keepNext/>
              <w:keepLines/>
              <w:spacing w:after="60"/>
              <w:jc w:val="right"/>
              <w:rPr>
                <w:rFonts w:eastAsia="Times New Roman"/>
                <w:b/>
                <w:bCs/>
                <w:szCs w:val="20"/>
                <w:u w:val="single"/>
              </w:rPr>
            </w:pPr>
            <w:r w:rsidRPr="00281428">
              <w:rPr>
                <w:rFonts w:eastAsia="Times New Roman"/>
                <w:b/>
                <w:bCs/>
                <w:szCs w:val="20"/>
                <w:u w:val="single"/>
              </w:rPr>
              <w:t>3.790</w:t>
            </w:r>
          </w:p>
        </w:tc>
      </w:tr>
      <w:tr w:rsidR="00F837E2" w:rsidRPr="00281428" w14:paraId="4CC51633" w14:textId="77777777" w:rsidTr="00A96162">
        <w:trPr>
          <w:trHeight w:val="300"/>
        </w:trPr>
        <w:tc>
          <w:tcPr>
            <w:tcW w:w="1138" w:type="dxa"/>
            <w:tcBorders>
              <w:top w:val="nil"/>
              <w:left w:val="nil"/>
              <w:bottom w:val="nil"/>
              <w:right w:val="nil"/>
            </w:tcBorders>
            <w:shd w:val="clear" w:color="auto" w:fill="D9D9D9" w:themeFill="background1" w:themeFillShade="D9"/>
            <w:noWrap/>
            <w:vAlign w:val="bottom"/>
            <w:hideMark/>
          </w:tcPr>
          <w:p w14:paraId="7963CF6B"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0519394E"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53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33B81B83" w14:textId="77777777" w:rsidR="00F837E2" w:rsidRPr="00281428" w:rsidRDefault="00F837E2" w:rsidP="00805E7F">
            <w:pPr>
              <w:keepNext/>
              <w:keepLines/>
              <w:spacing w:after="60"/>
              <w:rPr>
                <w:rFonts w:eastAsia="Times New Roman"/>
                <w:b/>
                <w:szCs w:val="20"/>
                <w:u w:val="single"/>
              </w:rPr>
            </w:pPr>
            <w:r w:rsidRPr="00281428">
              <w:rPr>
                <w:rFonts w:eastAsia="Times New Roman"/>
                <w:b/>
                <w:szCs w:val="20"/>
                <w:u w:val="single"/>
              </w:rPr>
              <w:t>over/short(+/-)</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3904309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-0.003</w:t>
            </w:r>
          </w:p>
        </w:tc>
        <w:tc>
          <w:tcPr>
            <w:tcW w:w="966" w:type="dxa"/>
            <w:tcBorders>
              <w:top w:val="nil"/>
              <w:left w:val="nil"/>
              <w:bottom w:val="single" w:sz="8" w:space="0" w:color="auto"/>
              <w:right w:val="single" w:sz="4" w:space="0" w:color="auto"/>
            </w:tcBorders>
            <w:shd w:val="clear" w:color="auto" w:fill="D9D9D9" w:themeFill="background1" w:themeFillShade="D9"/>
            <w:noWrap/>
            <w:vAlign w:val="bottom"/>
            <w:hideMark/>
          </w:tcPr>
          <w:p w14:paraId="70C87C3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-0.002</w:t>
            </w:r>
          </w:p>
        </w:tc>
        <w:tc>
          <w:tcPr>
            <w:tcW w:w="1194" w:type="dxa"/>
            <w:tcBorders>
              <w:top w:val="nil"/>
              <w:left w:val="nil"/>
              <w:bottom w:val="single" w:sz="8" w:space="0" w:color="auto"/>
              <w:right w:val="single" w:sz="4" w:space="0" w:color="auto"/>
            </w:tcBorders>
            <w:shd w:val="clear" w:color="auto" w:fill="D9D9D9" w:themeFill="background1" w:themeFillShade="D9"/>
            <w:noWrap/>
            <w:vAlign w:val="bottom"/>
            <w:hideMark/>
          </w:tcPr>
          <w:p w14:paraId="56537EF6"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0.003</w:t>
            </w:r>
          </w:p>
        </w:tc>
        <w:tc>
          <w:tcPr>
            <w:tcW w:w="1080" w:type="dxa"/>
            <w:tcBorders>
              <w:top w:val="nil"/>
              <w:left w:val="nil"/>
              <w:bottom w:val="single" w:sz="8" w:space="0" w:color="auto"/>
              <w:right w:val="single" w:sz="4" w:space="0" w:color="auto"/>
            </w:tcBorders>
            <w:shd w:val="clear" w:color="auto" w:fill="D9D9D9" w:themeFill="background1" w:themeFillShade="D9"/>
            <w:noWrap/>
            <w:vAlign w:val="bottom"/>
            <w:hideMark/>
          </w:tcPr>
          <w:p w14:paraId="5C3A89CB"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0.005</w:t>
            </w:r>
          </w:p>
        </w:tc>
      </w:tr>
      <w:tr w:rsidR="00F837E2" w:rsidRPr="00281428" w14:paraId="0F4A1F6D" w14:textId="77777777" w:rsidTr="00A96162">
        <w:trPr>
          <w:trHeight w:val="240"/>
        </w:trPr>
        <w:tc>
          <w:tcPr>
            <w:tcW w:w="1138" w:type="dxa"/>
            <w:tcBorders>
              <w:top w:val="nil"/>
              <w:left w:val="nil"/>
              <w:bottom w:val="nil"/>
              <w:right w:val="nil"/>
            </w:tcBorders>
            <w:shd w:val="clear" w:color="auto" w:fill="auto"/>
            <w:noWrap/>
            <w:vAlign w:val="bottom"/>
            <w:hideMark/>
          </w:tcPr>
          <w:p w14:paraId="3FF17A1E" w14:textId="77777777" w:rsidR="00F837E2" w:rsidRPr="00281428" w:rsidRDefault="00F837E2" w:rsidP="00805E7F">
            <w:pPr>
              <w:keepNext/>
              <w:keepLines/>
              <w:spacing w:after="60"/>
              <w:jc w:val="right"/>
              <w:rPr>
                <w:rFonts w:eastAsia="Times New Roman"/>
                <w:b/>
                <w:color w:val="FF0000"/>
                <w:szCs w:val="20"/>
                <w:u w:val="single"/>
              </w:rPr>
            </w:pPr>
          </w:p>
        </w:tc>
        <w:tc>
          <w:tcPr>
            <w:tcW w:w="2552" w:type="dxa"/>
            <w:tcBorders>
              <w:top w:val="nil"/>
              <w:left w:val="nil"/>
              <w:bottom w:val="nil"/>
              <w:right w:val="nil"/>
            </w:tcBorders>
            <w:shd w:val="clear" w:color="auto" w:fill="auto"/>
            <w:noWrap/>
            <w:vAlign w:val="bottom"/>
            <w:hideMark/>
          </w:tcPr>
          <w:p w14:paraId="2DE6B7B4"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Density of air</w:t>
            </w:r>
          </w:p>
        </w:tc>
        <w:tc>
          <w:tcPr>
            <w:tcW w:w="1530" w:type="dxa"/>
            <w:tcBorders>
              <w:top w:val="nil"/>
              <w:left w:val="nil"/>
              <w:bottom w:val="nil"/>
              <w:right w:val="nil"/>
            </w:tcBorders>
            <w:shd w:val="clear" w:color="auto" w:fill="auto"/>
            <w:noWrap/>
            <w:vAlign w:val="bottom"/>
            <w:hideMark/>
          </w:tcPr>
          <w:p w14:paraId="07222FF6" w14:textId="77777777" w:rsidR="00F837E2" w:rsidRPr="00281428" w:rsidRDefault="00F837E2" w:rsidP="00805E7F">
            <w:pPr>
              <w:keepNext/>
              <w:keepLines/>
              <w:spacing w:after="60"/>
              <w:rPr>
                <w:rFonts w:eastAsia="Times New Roman"/>
                <w:b/>
                <w:color w:val="000000"/>
                <w:szCs w:val="20"/>
                <w:u w:val="single"/>
              </w:rPr>
            </w:pPr>
          </w:p>
        </w:tc>
        <w:tc>
          <w:tcPr>
            <w:tcW w:w="1080" w:type="dxa"/>
            <w:tcBorders>
              <w:top w:val="nil"/>
              <w:left w:val="nil"/>
              <w:bottom w:val="nil"/>
              <w:right w:val="nil"/>
            </w:tcBorders>
            <w:shd w:val="clear" w:color="auto" w:fill="auto"/>
            <w:noWrap/>
            <w:vAlign w:val="bottom"/>
            <w:hideMark/>
          </w:tcPr>
          <w:p w14:paraId="4596B35A"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0.0012</w:t>
            </w:r>
          </w:p>
        </w:tc>
        <w:tc>
          <w:tcPr>
            <w:tcW w:w="966" w:type="dxa"/>
            <w:tcBorders>
              <w:top w:val="nil"/>
              <w:left w:val="nil"/>
              <w:bottom w:val="nil"/>
              <w:right w:val="nil"/>
            </w:tcBorders>
            <w:shd w:val="clear" w:color="auto" w:fill="auto"/>
            <w:noWrap/>
            <w:vAlign w:val="bottom"/>
            <w:hideMark/>
          </w:tcPr>
          <w:p w14:paraId="416B6C5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0.0012</w:t>
            </w:r>
          </w:p>
        </w:tc>
        <w:tc>
          <w:tcPr>
            <w:tcW w:w="1194" w:type="dxa"/>
            <w:tcBorders>
              <w:top w:val="nil"/>
              <w:left w:val="nil"/>
              <w:bottom w:val="nil"/>
              <w:right w:val="nil"/>
            </w:tcBorders>
            <w:shd w:val="clear" w:color="auto" w:fill="auto"/>
            <w:noWrap/>
            <w:vAlign w:val="bottom"/>
            <w:hideMark/>
          </w:tcPr>
          <w:p w14:paraId="512948D6"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0.0010</w:t>
            </w:r>
          </w:p>
        </w:tc>
        <w:tc>
          <w:tcPr>
            <w:tcW w:w="1080" w:type="dxa"/>
            <w:tcBorders>
              <w:top w:val="nil"/>
              <w:left w:val="nil"/>
              <w:bottom w:val="nil"/>
              <w:right w:val="nil"/>
            </w:tcBorders>
            <w:shd w:val="clear" w:color="auto" w:fill="auto"/>
            <w:noWrap/>
            <w:vAlign w:val="bottom"/>
            <w:hideMark/>
          </w:tcPr>
          <w:p w14:paraId="37DC08CB"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0.0012</w:t>
            </w:r>
          </w:p>
        </w:tc>
      </w:tr>
      <w:tr w:rsidR="00F837E2" w:rsidRPr="00281428" w14:paraId="28B857F9" w14:textId="77777777" w:rsidTr="00A96162">
        <w:trPr>
          <w:trHeight w:val="240"/>
        </w:trPr>
        <w:tc>
          <w:tcPr>
            <w:tcW w:w="1138" w:type="dxa"/>
            <w:tcBorders>
              <w:top w:val="nil"/>
              <w:left w:val="nil"/>
              <w:bottom w:val="nil"/>
              <w:right w:val="nil"/>
            </w:tcBorders>
            <w:shd w:val="clear" w:color="auto" w:fill="auto"/>
            <w:noWrap/>
            <w:vAlign w:val="bottom"/>
            <w:hideMark/>
          </w:tcPr>
          <w:p w14:paraId="29A45D9C" w14:textId="77777777" w:rsidR="00F837E2" w:rsidRPr="00281428" w:rsidRDefault="00F837E2" w:rsidP="00805E7F">
            <w:pPr>
              <w:keepNext/>
              <w:keepLines/>
              <w:spacing w:after="60"/>
              <w:jc w:val="right"/>
              <w:rPr>
                <w:rFonts w:eastAsia="Times New Roman"/>
                <w:b/>
                <w:color w:val="7030A0"/>
                <w:szCs w:val="20"/>
                <w:u w:val="single"/>
              </w:rPr>
            </w:pPr>
          </w:p>
        </w:tc>
        <w:tc>
          <w:tcPr>
            <w:tcW w:w="2552" w:type="dxa"/>
            <w:tcBorders>
              <w:top w:val="nil"/>
              <w:left w:val="nil"/>
              <w:bottom w:val="nil"/>
              <w:right w:val="nil"/>
            </w:tcBorders>
            <w:shd w:val="clear" w:color="auto" w:fill="auto"/>
            <w:noWrap/>
            <w:vAlign w:val="bottom"/>
            <w:hideMark/>
          </w:tcPr>
          <w:p w14:paraId="21A7E85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density reference temp</w:t>
            </w:r>
          </w:p>
        </w:tc>
        <w:tc>
          <w:tcPr>
            <w:tcW w:w="1530" w:type="dxa"/>
            <w:tcBorders>
              <w:top w:val="nil"/>
              <w:left w:val="nil"/>
              <w:bottom w:val="nil"/>
              <w:right w:val="nil"/>
            </w:tcBorders>
            <w:shd w:val="clear" w:color="auto" w:fill="auto"/>
            <w:noWrap/>
            <w:vAlign w:val="bottom"/>
            <w:hideMark/>
          </w:tcPr>
          <w:p w14:paraId="41881935" w14:textId="77777777" w:rsidR="00F837E2" w:rsidRPr="00281428" w:rsidRDefault="00F837E2" w:rsidP="00805E7F">
            <w:pPr>
              <w:keepNext/>
              <w:keepLines/>
              <w:spacing w:after="60"/>
              <w:rPr>
                <w:rFonts w:eastAsia="Times New Roman"/>
                <w:b/>
                <w:color w:val="000000"/>
                <w:szCs w:val="20"/>
                <w:u w:val="single"/>
              </w:rPr>
            </w:pPr>
          </w:p>
        </w:tc>
        <w:tc>
          <w:tcPr>
            <w:tcW w:w="1080" w:type="dxa"/>
            <w:tcBorders>
              <w:top w:val="nil"/>
              <w:left w:val="nil"/>
              <w:bottom w:val="nil"/>
              <w:right w:val="nil"/>
            </w:tcBorders>
            <w:shd w:val="clear" w:color="auto" w:fill="auto"/>
            <w:noWrap/>
            <w:vAlign w:val="bottom"/>
            <w:hideMark/>
          </w:tcPr>
          <w:p w14:paraId="1D3BDF6C"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0.8541</w:t>
            </w:r>
          </w:p>
        </w:tc>
        <w:tc>
          <w:tcPr>
            <w:tcW w:w="966" w:type="dxa"/>
            <w:tcBorders>
              <w:top w:val="nil"/>
              <w:left w:val="nil"/>
              <w:bottom w:val="nil"/>
              <w:right w:val="nil"/>
            </w:tcBorders>
            <w:shd w:val="clear" w:color="auto" w:fill="auto"/>
            <w:noWrap/>
            <w:vAlign w:val="bottom"/>
            <w:hideMark/>
          </w:tcPr>
          <w:p w14:paraId="1CF6EB8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0.8539</w:t>
            </w:r>
          </w:p>
        </w:tc>
        <w:tc>
          <w:tcPr>
            <w:tcW w:w="1194" w:type="dxa"/>
            <w:tcBorders>
              <w:top w:val="nil"/>
              <w:left w:val="nil"/>
              <w:bottom w:val="nil"/>
              <w:right w:val="nil"/>
            </w:tcBorders>
            <w:shd w:val="clear" w:color="auto" w:fill="auto"/>
            <w:noWrap/>
            <w:vAlign w:val="bottom"/>
            <w:hideMark/>
          </w:tcPr>
          <w:p w14:paraId="47B77EB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0.8534</w:t>
            </w:r>
          </w:p>
        </w:tc>
        <w:tc>
          <w:tcPr>
            <w:tcW w:w="1080" w:type="dxa"/>
            <w:tcBorders>
              <w:top w:val="nil"/>
              <w:left w:val="nil"/>
              <w:bottom w:val="nil"/>
              <w:right w:val="nil"/>
            </w:tcBorders>
            <w:shd w:val="clear" w:color="auto" w:fill="auto"/>
            <w:noWrap/>
            <w:vAlign w:val="bottom"/>
            <w:hideMark/>
          </w:tcPr>
          <w:p w14:paraId="65848A3E"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0.8532</w:t>
            </w:r>
          </w:p>
        </w:tc>
      </w:tr>
      <w:tr w:rsidR="00F837E2" w:rsidRPr="00281428" w14:paraId="22820FCF" w14:textId="77777777" w:rsidTr="00A96162">
        <w:trPr>
          <w:trHeight w:val="240"/>
        </w:trPr>
        <w:tc>
          <w:tcPr>
            <w:tcW w:w="1138" w:type="dxa"/>
            <w:tcBorders>
              <w:top w:val="nil"/>
              <w:left w:val="nil"/>
              <w:bottom w:val="nil"/>
              <w:right w:val="nil"/>
            </w:tcBorders>
            <w:shd w:val="clear" w:color="auto" w:fill="auto"/>
            <w:noWrap/>
            <w:vAlign w:val="bottom"/>
            <w:hideMark/>
          </w:tcPr>
          <w:p w14:paraId="4313B111" w14:textId="77777777" w:rsidR="00F837E2" w:rsidRPr="00281428" w:rsidRDefault="00F837E2" w:rsidP="00805E7F">
            <w:pPr>
              <w:keepNext/>
              <w:keepLines/>
              <w:spacing w:after="60"/>
              <w:jc w:val="right"/>
              <w:rPr>
                <w:rFonts w:eastAsia="Times New Roman"/>
                <w:b/>
                <w:color w:val="000000"/>
                <w:szCs w:val="20"/>
                <w:u w:val="single"/>
              </w:rPr>
            </w:pPr>
          </w:p>
        </w:tc>
        <w:tc>
          <w:tcPr>
            <w:tcW w:w="2552" w:type="dxa"/>
            <w:tcBorders>
              <w:top w:val="nil"/>
              <w:left w:val="nil"/>
              <w:bottom w:val="nil"/>
              <w:right w:val="nil"/>
            </w:tcBorders>
            <w:shd w:val="clear" w:color="auto" w:fill="auto"/>
            <w:noWrap/>
            <w:vAlign w:val="bottom"/>
            <w:hideMark/>
          </w:tcPr>
          <w:p w14:paraId="657CA932"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Apparent Density</w:t>
            </w:r>
          </w:p>
        </w:tc>
        <w:tc>
          <w:tcPr>
            <w:tcW w:w="1530" w:type="dxa"/>
            <w:tcBorders>
              <w:top w:val="nil"/>
              <w:left w:val="nil"/>
              <w:bottom w:val="nil"/>
              <w:right w:val="nil"/>
            </w:tcBorders>
            <w:shd w:val="clear" w:color="auto" w:fill="auto"/>
            <w:noWrap/>
            <w:vAlign w:val="bottom"/>
            <w:hideMark/>
          </w:tcPr>
          <w:p w14:paraId="7A73E310" w14:textId="77777777" w:rsidR="00F837E2" w:rsidRPr="00281428" w:rsidRDefault="00F837E2" w:rsidP="00805E7F">
            <w:pPr>
              <w:keepNext/>
              <w:keepLines/>
              <w:spacing w:after="60"/>
              <w:rPr>
                <w:rFonts w:eastAsia="Times New Roman"/>
                <w:b/>
                <w:color w:val="000000"/>
                <w:szCs w:val="20"/>
                <w:u w:val="single"/>
              </w:rPr>
            </w:pPr>
          </w:p>
        </w:tc>
        <w:tc>
          <w:tcPr>
            <w:tcW w:w="1080" w:type="dxa"/>
            <w:tcBorders>
              <w:top w:val="nil"/>
              <w:left w:val="nil"/>
              <w:bottom w:val="nil"/>
              <w:right w:val="nil"/>
            </w:tcBorders>
            <w:shd w:val="clear" w:color="auto" w:fill="auto"/>
            <w:noWrap/>
            <w:vAlign w:val="bottom"/>
            <w:hideMark/>
          </w:tcPr>
          <w:p w14:paraId="4ADADF56"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0.8531</w:t>
            </w:r>
          </w:p>
        </w:tc>
        <w:tc>
          <w:tcPr>
            <w:tcW w:w="966" w:type="dxa"/>
            <w:tcBorders>
              <w:top w:val="nil"/>
              <w:left w:val="nil"/>
              <w:bottom w:val="nil"/>
              <w:right w:val="nil"/>
            </w:tcBorders>
            <w:shd w:val="clear" w:color="auto" w:fill="auto"/>
            <w:noWrap/>
            <w:vAlign w:val="bottom"/>
            <w:hideMark/>
          </w:tcPr>
          <w:p w14:paraId="49B6D04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0.8528</w:t>
            </w:r>
          </w:p>
        </w:tc>
        <w:tc>
          <w:tcPr>
            <w:tcW w:w="1194" w:type="dxa"/>
            <w:tcBorders>
              <w:top w:val="nil"/>
              <w:left w:val="nil"/>
              <w:bottom w:val="nil"/>
              <w:right w:val="nil"/>
            </w:tcBorders>
            <w:shd w:val="clear" w:color="auto" w:fill="auto"/>
            <w:noWrap/>
            <w:vAlign w:val="bottom"/>
            <w:hideMark/>
          </w:tcPr>
          <w:p w14:paraId="05609B5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0.8526</w:t>
            </w:r>
          </w:p>
        </w:tc>
        <w:tc>
          <w:tcPr>
            <w:tcW w:w="1080" w:type="dxa"/>
            <w:tcBorders>
              <w:top w:val="nil"/>
              <w:left w:val="nil"/>
              <w:bottom w:val="nil"/>
              <w:right w:val="nil"/>
            </w:tcBorders>
            <w:shd w:val="clear" w:color="auto" w:fill="auto"/>
            <w:noWrap/>
            <w:vAlign w:val="bottom"/>
            <w:hideMark/>
          </w:tcPr>
          <w:p w14:paraId="663536BE"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0.8521</w:t>
            </w:r>
          </w:p>
        </w:tc>
      </w:tr>
      <w:tr w:rsidR="00F837E2" w:rsidRPr="00281428" w14:paraId="237DF7CE" w14:textId="77777777" w:rsidTr="00A96162">
        <w:trPr>
          <w:trHeight w:val="240"/>
        </w:trPr>
        <w:tc>
          <w:tcPr>
            <w:tcW w:w="1138" w:type="dxa"/>
            <w:tcBorders>
              <w:top w:val="nil"/>
              <w:left w:val="nil"/>
              <w:bottom w:val="nil"/>
              <w:right w:val="nil"/>
            </w:tcBorders>
            <w:shd w:val="clear" w:color="auto" w:fill="auto"/>
            <w:noWrap/>
            <w:vAlign w:val="bottom"/>
            <w:hideMark/>
          </w:tcPr>
          <w:p w14:paraId="72A54A8B" w14:textId="77777777" w:rsidR="00F837E2" w:rsidRPr="00281428" w:rsidRDefault="00F837E2" w:rsidP="00805E7F">
            <w:pPr>
              <w:keepNext/>
              <w:keepLines/>
              <w:spacing w:after="60"/>
              <w:jc w:val="right"/>
              <w:rPr>
                <w:rFonts w:eastAsia="Times New Roman"/>
                <w:b/>
                <w:color w:val="000000"/>
                <w:szCs w:val="20"/>
                <w:u w:val="single"/>
              </w:rPr>
            </w:pPr>
          </w:p>
        </w:tc>
        <w:tc>
          <w:tcPr>
            <w:tcW w:w="2552" w:type="dxa"/>
            <w:tcBorders>
              <w:top w:val="nil"/>
              <w:left w:val="nil"/>
              <w:bottom w:val="nil"/>
              <w:right w:val="nil"/>
            </w:tcBorders>
            <w:shd w:val="clear" w:color="auto" w:fill="auto"/>
            <w:noWrap/>
            <w:vAlign w:val="bottom"/>
            <w:hideMark/>
          </w:tcPr>
          <w:p w14:paraId="4A29A83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App Mass, lb (gal @ ref T)</w:t>
            </w:r>
          </w:p>
        </w:tc>
        <w:tc>
          <w:tcPr>
            <w:tcW w:w="1530" w:type="dxa"/>
            <w:tcBorders>
              <w:top w:val="nil"/>
              <w:left w:val="nil"/>
              <w:bottom w:val="nil"/>
              <w:right w:val="nil"/>
            </w:tcBorders>
            <w:shd w:val="clear" w:color="auto" w:fill="auto"/>
            <w:noWrap/>
            <w:vAlign w:val="bottom"/>
            <w:hideMark/>
          </w:tcPr>
          <w:p w14:paraId="3B27FBCF"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lb/gal</w:t>
            </w:r>
          </w:p>
        </w:tc>
        <w:tc>
          <w:tcPr>
            <w:tcW w:w="1080" w:type="dxa"/>
            <w:tcBorders>
              <w:top w:val="nil"/>
              <w:left w:val="nil"/>
              <w:bottom w:val="nil"/>
              <w:right w:val="nil"/>
            </w:tcBorders>
            <w:shd w:val="clear" w:color="auto" w:fill="auto"/>
            <w:noWrap/>
            <w:vAlign w:val="bottom"/>
            <w:hideMark/>
          </w:tcPr>
          <w:p w14:paraId="07F4114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7.119144</w:t>
            </w:r>
          </w:p>
        </w:tc>
        <w:tc>
          <w:tcPr>
            <w:tcW w:w="966" w:type="dxa"/>
            <w:tcBorders>
              <w:top w:val="nil"/>
              <w:left w:val="nil"/>
              <w:bottom w:val="nil"/>
              <w:right w:val="nil"/>
            </w:tcBorders>
            <w:shd w:val="clear" w:color="auto" w:fill="auto"/>
            <w:noWrap/>
            <w:vAlign w:val="bottom"/>
            <w:hideMark/>
          </w:tcPr>
          <w:p w14:paraId="394701B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7.117038</w:t>
            </w:r>
          </w:p>
        </w:tc>
        <w:tc>
          <w:tcPr>
            <w:tcW w:w="1194" w:type="dxa"/>
            <w:tcBorders>
              <w:top w:val="nil"/>
              <w:left w:val="nil"/>
              <w:bottom w:val="nil"/>
              <w:right w:val="nil"/>
            </w:tcBorders>
            <w:shd w:val="clear" w:color="auto" w:fill="auto"/>
            <w:noWrap/>
            <w:vAlign w:val="bottom"/>
            <w:hideMark/>
          </w:tcPr>
          <w:p w14:paraId="741ABE05"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7.115147</w:t>
            </w:r>
          </w:p>
        </w:tc>
        <w:tc>
          <w:tcPr>
            <w:tcW w:w="1080" w:type="dxa"/>
            <w:tcBorders>
              <w:top w:val="nil"/>
              <w:left w:val="nil"/>
              <w:bottom w:val="nil"/>
              <w:right w:val="nil"/>
            </w:tcBorders>
            <w:shd w:val="clear" w:color="auto" w:fill="auto"/>
            <w:noWrap/>
            <w:vAlign w:val="bottom"/>
            <w:hideMark/>
          </w:tcPr>
          <w:p w14:paraId="40F8CA8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7.111149</w:t>
            </w:r>
          </w:p>
        </w:tc>
      </w:tr>
      <w:tr w:rsidR="00F837E2" w:rsidRPr="00281428" w14:paraId="4001CF71" w14:textId="77777777" w:rsidTr="00A96162">
        <w:trPr>
          <w:trHeight w:val="290"/>
        </w:trPr>
        <w:tc>
          <w:tcPr>
            <w:tcW w:w="1138" w:type="dxa"/>
            <w:tcBorders>
              <w:top w:val="nil"/>
              <w:left w:val="nil"/>
              <w:bottom w:val="nil"/>
              <w:right w:val="nil"/>
            </w:tcBorders>
            <w:shd w:val="clear" w:color="auto" w:fill="D9D9D9" w:themeFill="background1" w:themeFillShade="D9"/>
            <w:noWrap/>
            <w:vAlign w:val="bottom"/>
            <w:hideMark/>
          </w:tcPr>
          <w:p w14:paraId="3298691C"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1C0537C2"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xml:space="preserve">lb X factor </w:t>
            </w:r>
          </w:p>
        </w:tc>
        <w:tc>
          <w:tcPr>
            <w:tcW w:w="1530" w:type="dxa"/>
            <w:tcBorders>
              <w:top w:val="nil"/>
              <w:left w:val="nil"/>
              <w:bottom w:val="nil"/>
              <w:right w:val="nil"/>
            </w:tcBorders>
            <w:shd w:val="clear" w:color="auto" w:fill="D9D9D9" w:themeFill="background1" w:themeFillShade="D9"/>
            <w:noWrap/>
            <w:vAlign w:val="bottom"/>
            <w:hideMark/>
          </w:tcPr>
          <w:p w14:paraId="0F38C620"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gal/lb</w:t>
            </w:r>
          </w:p>
        </w:tc>
        <w:tc>
          <w:tcPr>
            <w:tcW w:w="1080" w:type="dxa"/>
            <w:tcBorders>
              <w:top w:val="nil"/>
              <w:left w:val="nil"/>
              <w:bottom w:val="nil"/>
              <w:right w:val="nil"/>
            </w:tcBorders>
            <w:shd w:val="clear" w:color="auto" w:fill="D9D9D9" w:themeFill="background1" w:themeFillShade="D9"/>
            <w:noWrap/>
            <w:vAlign w:val="bottom"/>
            <w:hideMark/>
          </w:tcPr>
          <w:p w14:paraId="1015796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0.140466</w:t>
            </w:r>
          </w:p>
        </w:tc>
        <w:tc>
          <w:tcPr>
            <w:tcW w:w="966" w:type="dxa"/>
            <w:tcBorders>
              <w:top w:val="nil"/>
              <w:left w:val="nil"/>
              <w:bottom w:val="nil"/>
              <w:right w:val="nil"/>
            </w:tcBorders>
            <w:shd w:val="clear" w:color="auto" w:fill="D9D9D9" w:themeFill="background1" w:themeFillShade="D9"/>
            <w:noWrap/>
            <w:vAlign w:val="bottom"/>
            <w:hideMark/>
          </w:tcPr>
          <w:p w14:paraId="22DEBAE9"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0.140508</w:t>
            </w:r>
          </w:p>
        </w:tc>
        <w:tc>
          <w:tcPr>
            <w:tcW w:w="1194" w:type="dxa"/>
            <w:tcBorders>
              <w:top w:val="nil"/>
              <w:left w:val="nil"/>
              <w:bottom w:val="nil"/>
              <w:right w:val="nil"/>
            </w:tcBorders>
            <w:shd w:val="clear" w:color="auto" w:fill="D9D9D9" w:themeFill="background1" w:themeFillShade="D9"/>
            <w:noWrap/>
            <w:vAlign w:val="bottom"/>
            <w:hideMark/>
          </w:tcPr>
          <w:p w14:paraId="55B53E5B"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0.140545</w:t>
            </w:r>
          </w:p>
        </w:tc>
        <w:tc>
          <w:tcPr>
            <w:tcW w:w="1080" w:type="dxa"/>
            <w:tcBorders>
              <w:top w:val="nil"/>
              <w:left w:val="nil"/>
              <w:bottom w:val="nil"/>
              <w:right w:val="nil"/>
            </w:tcBorders>
            <w:shd w:val="clear" w:color="auto" w:fill="D9D9D9" w:themeFill="background1" w:themeFillShade="D9"/>
            <w:noWrap/>
            <w:vAlign w:val="bottom"/>
            <w:hideMark/>
          </w:tcPr>
          <w:p w14:paraId="25260E5D"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0.140624</w:t>
            </w:r>
          </w:p>
        </w:tc>
      </w:tr>
      <w:tr w:rsidR="00F837E2" w:rsidRPr="00281428" w14:paraId="542583B8" w14:textId="77777777" w:rsidTr="00A96162">
        <w:trPr>
          <w:trHeight w:val="290"/>
        </w:trPr>
        <w:tc>
          <w:tcPr>
            <w:tcW w:w="1138" w:type="dxa"/>
            <w:tcBorders>
              <w:top w:val="nil"/>
              <w:left w:val="nil"/>
              <w:bottom w:val="nil"/>
              <w:right w:val="nil"/>
            </w:tcBorders>
            <w:shd w:val="clear" w:color="auto" w:fill="D9D9D9" w:themeFill="background1" w:themeFillShade="D9"/>
            <w:noWrap/>
            <w:vAlign w:val="bottom"/>
            <w:hideMark/>
          </w:tcPr>
          <w:p w14:paraId="207FEABC"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2552" w:type="dxa"/>
            <w:tcBorders>
              <w:top w:val="nil"/>
              <w:left w:val="nil"/>
              <w:bottom w:val="nil"/>
              <w:right w:val="nil"/>
            </w:tcBorders>
            <w:shd w:val="clear" w:color="auto" w:fill="D9D9D9" w:themeFill="background1" w:themeFillShade="D9"/>
            <w:noWrap/>
            <w:vAlign w:val="bottom"/>
            <w:hideMark/>
          </w:tcPr>
          <w:p w14:paraId="665CE91D"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 </w:t>
            </w:r>
          </w:p>
        </w:tc>
        <w:tc>
          <w:tcPr>
            <w:tcW w:w="1530" w:type="dxa"/>
            <w:tcBorders>
              <w:top w:val="nil"/>
              <w:left w:val="nil"/>
              <w:bottom w:val="nil"/>
              <w:right w:val="nil"/>
            </w:tcBorders>
            <w:shd w:val="clear" w:color="auto" w:fill="D9D9D9" w:themeFill="background1" w:themeFillShade="D9"/>
            <w:noWrap/>
            <w:vAlign w:val="bottom"/>
            <w:hideMark/>
          </w:tcPr>
          <w:p w14:paraId="1567EDEE" w14:textId="77777777" w:rsidR="00F837E2" w:rsidRPr="00281428" w:rsidRDefault="00F837E2" w:rsidP="00805E7F">
            <w:pPr>
              <w:keepNext/>
              <w:keepLines/>
              <w:spacing w:after="60"/>
              <w:rPr>
                <w:rFonts w:eastAsia="Times New Roman"/>
                <w:b/>
                <w:color w:val="000000"/>
                <w:szCs w:val="20"/>
                <w:u w:val="single"/>
              </w:rPr>
            </w:pPr>
            <w:r w:rsidRPr="00281428">
              <w:rPr>
                <w:rFonts w:eastAsia="Times New Roman"/>
                <w:b/>
                <w:color w:val="000000"/>
                <w:szCs w:val="20"/>
                <w:u w:val="single"/>
              </w:rPr>
              <w:t>floz/lb</w:t>
            </w:r>
          </w:p>
        </w:tc>
        <w:tc>
          <w:tcPr>
            <w:tcW w:w="1080" w:type="dxa"/>
            <w:tcBorders>
              <w:top w:val="nil"/>
              <w:left w:val="nil"/>
              <w:bottom w:val="nil"/>
              <w:right w:val="nil"/>
            </w:tcBorders>
            <w:shd w:val="clear" w:color="auto" w:fill="D9D9D9" w:themeFill="background1" w:themeFillShade="D9"/>
            <w:noWrap/>
            <w:vAlign w:val="bottom"/>
            <w:hideMark/>
          </w:tcPr>
          <w:p w14:paraId="4F1F889F"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17.980</w:t>
            </w:r>
          </w:p>
        </w:tc>
        <w:tc>
          <w:tcPr>
            <w:tcW w:w="966" w:type="dxa"/>
            <w:tcBorders>
              <w:top w:val="nil"/>
              <w:left w:val="nil"/>
              <w:bottom w:val="nil"/>
              <w:right w:val="nil"/>
            </w:tcBorders>
            <w:shd w:val="clear" w:color="auto" w:fill="D9D9D9" w:themeFill="background1" w:themeFillShade="D9"/>
            <w:noWrap/>
            <w:vAlign w:val="bottom"/>
            <w:hideMark/>
          </w:tcPr>
          <w:p w14:paraId="07C90858"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17.985</w:t>
            </w:r>
          </w:p>
        </w:tc>
        <w:tc>
          <w:tcPr>
            <w:tcW w:w="1194" w:type="dxa"/>
            <w:tcBorders>
              <w:top w:val="nil"/>
              <w:left w:val="nil"/>
              <w:bottom w:val="nil"/>
              <w:right w:val="nil"/>
            </w:tcBorders>
            <w:shd w:val="clear" w:color="auto" w:fill="D9D9D9" w:themeFill="background1" w:themeFillShade="D9"/>
            <w:noWrap/>
            <w:vAlign w:val="bottom"/>
            <w:hideMark/>
          </w:tcPr>
          <w:p w14:paraId="4651BD82"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17.990</w:t>
            </w:r>
          </w:p>
        </w:tc>
        <w:tc>
          <w:tcPr>
            <w:tcW w:w="1080" w:type="dxa"/>
            <w:tcBorders>
              <w:top w:val="nil"/>
              <w:left w:val="nil"/>
              <w:bottom w:val="nil"/>
              <w:right w:val="nil"/>
            </w:tcBorders>
            <w:shd w:val="clear" w:color="auto" w:fill="D9D9D9" w:themeFill="background1" w:themeFillShade="D9"/>
            <w:noWrap/>
            <w:vAlign w:val="bottom"/>
            <w:hideMark/>
          </w:tcPr>
          <w:p w14:paraId="48DFFE24" w14:textId="77777777" w:rsidR="00F837E2" w:rsidRPr="00281428" w:rsidRDefault="00F837E2" w:rsidP="00805E7F">
            <w:pPr>
              <w:keepNext/>
              <w:keepLines/>
              <w:spacing w:after="60"/>
              <w:jc w:val="right"/>
              <w:rPr>
                <w:rFonts w:eastAsia="Times New Roman"/>
                <w:b/>
                <w:szCs w:val="20"/>
                <w:u w:val="single"/>
              </w:rPr>
            </w:pPr>
            <w:r w:rsidRPr="00281428">
              <w:rPr>
                <w:rFonts w:eastAsia="Times New Roman"/>
                <w:b/>
                <w:szCs w:val="20"/>
                <w:u w:val="single"/>
              </w:rPr>
              <w:t>18.000</w:t>
            </w:r>
          </w:p>
        </w:tc>
      </w:tr>
    </w:tbl>
    <w:bookmarkEnd w:id="295"/>
    <w:p w14:paraId="59C588C1" w14:textId="4807B86C" w:rsidR="003B1A9B" w:rsidRPr="00281428" w:rsidRDefault="003B1A9B" w:rsidP="00C96A77">
      <w:pPr>
        <w:spacing w:before="240" w:after="0"/>
        <w:rPr>
          <w:color w:val="000000"/>
          <w:szCs w:val="20"/>
        </w:rPr>
      </w:pPr>
      <w:r w:rsidRPr="00281428">
        <w:rPr>
          <w:b/>
        </w:rPr>
        <w:t>Background/Discussion:</w:t>
      </w:r>
      <w:r w:rsidRPr="00281428">
        <w:rPr>
          <w:color w:val="000000"/>
          <w:szCs w:val="20"/>
        </w:rPr>
        <w:t xml:space="preserve"> </w:t>
      </w:r>
    </w:p>
    <w:p w14:paraId="772499A0" w14:textId="77777777" w:rsidR="003B1A9B" w:rsidRPr="00281428" w:rsidRDefault="003B1A9B" w:rsidP="003B1A9B">
      <w:r w:rsidRPr="00281428">
        <w:t>This item has been assigned to the submitter for further development.  For more information or to provide comment, please contact:</w:t>
      </w:r>
    </w:p>
    <w:p w14:paraId="52267CF8" w14:textId="071A6F57" w:rsidR="003B1A9B" w:rsidRPr="003F0CF2" w:rsidRDefault="003B1A9B" w:rsidP="003F0CF2">
      <w:pPr>
        <w:pStyle w:val="NoSpacing"/>
        <w:ind w:left="720"/>
        <w:rPr>
          <w:rFonts w:ascii="Times New Roman" w:hAnsi="Times New Roman"/>
          <w:sz w:val="20"/>
          <w:szCs w:val="20"/>
          <w:u w:val="single"/>
        </w:rPr>
      </w:pPr>
      <w:r w:rsidRPr="003F0CF2">
        <w:rPr>
          <w:rFonts w:ascii="Times New Roman" w:hAnsi="Times New Roman"/>
          <w:sz w:val="20"/>
          <w:szCs w:val="20"/>
        </w:rPr>
        <w:t>Mr. Ronald Hayes</w:t>
      </w:r>
      <w:r w:rsidR="00CF4099" w:rsidRPr="003F0CF2">
        <w:rPr>
          <w:rFonts w:ascii="Times New Roman" w:hAnsi="Times New Roman"/>
          <w:sz w:val="20"/>
          <w:szCs w:val="20"/>
        </w:rPr>
        <w:t>*</w:t>
      </w:r>
      <w:r w:rsidRPr="003F0CF2">
        <w:rPr>
          <w:rFonts w:ascii="Times New Roman" w:hAnsi="Times New Roman"/>
          <w:sz w:val="20"/>
          <w:szCs w:val="20"/>
        </w:rPr>
        <w:br/>
        <w:t>Missouri Department of Agriculture</w:t>
      </w:r>
      <w:r w:rsidRPr="003F0CF2">
        <w:rPr>
          <w:rFonts w:ascii="Times New Roman" w:hAnsi="Times New Roman"/>
          <w:sz w:val="20"/>
          <w:szCs w:val="20"/>
        </w:rPr>
        <w:br/>
        <w:t xml:space="preserve">573-751-4316, </w:t>
      </w:r>
      <w:hyperlink r:id="rId38" w:history="1">
        <w:r w:rsidR="005E5636" w:rsidRPr="00C7744F">
          <w:rPr>
            <w:rStyle w:val="Hyperlink"/>
            <w:rFonts w:ascii="Times New Roman" w:hAnsi="Times New Roman"/>
            <w:noProof w:val="0"/>
            <w:color w:val="0000FF"/>
            <w:sz w:val="20"/>
            <w:szCs w:val="20"/>
          </w:rPr>
          <w:t>ron.hayes@mda.mo.gov</w:t>
        </w:r>
      </w:hyperlink>
      <w:r w:rsidR="005E5636" w:rsidRPr="003F0CF2">
        <w:rPr>
          <w:rFonts w:ascii="Times New Roman" w:hAnsi="Times New Roman"/>
          <w:sz w:val="20"/>
          <w:szCs w:val="20"/>
          <w:u w:val="single"/>
        </w:rPr>
        <w:t xml:space="preserve"> </w:t>
      </w:r>
    </w:p>
    <w:p w14:paraId="7F60E198" w14:textId="1B36571F" w:rsidR="00CF4099" w:rsidRPr="00281428" w:rsidRDefault="00CF4099" w:rsidP="003B1A9B">
      <w:pPr>
        <w:ind w:left="720"/>
        <w:jc w:val="left"/>
      </w:pPr>
      <w:r w:rsidRPr="00281428">
        <w:t>*</w:t>
      </w:r>
      <w:r w:rsidR="001C5915" w:rsidRPr="001C5915">
        <w:rPr>
          <w:i/>
          <w:iCs/>
        </w:rPr>
        <w:t>As of 2021,</w:t>
      </w:r>
      <w:r w:rsidR="001C5915">
        <w:t xml:space="preserve"> </w:t>
      </w:r>
      <w:r w:rsidRPr="0012775D">
        <w:rPr>
          <w:i/>
          <w:iCs/>
        </w:rPr>
        <w:t xml:space="preserve">Mr. Hayes </w:t>
      </w:r>
      <w:r w:rsidR="00211511" w:rsidRPr="0012775D">
        <w:rPr>
          <w:i/>
          <w:iCs/>
        </w:rPr>
        <w:t xml:space="preserve">has </w:t>
      </w:r>
      <w:r w:rsidRPr="0012775D">
        <w:rPr>
          <w:i/>
          <w:iCs/>
        </w:rPr>
        <w:t>retired from the Missouri Department of Agriculture</w:t>
      </w:r>
    </w:p>
    <w:p w14:paraId="0A1C2F28" w14:textId="77777777" w:rsidR="003B1A9B" w:rsidRPr="00281428" w:rsidRDefault="003B1A9B" w:rsidP="003B1A9B">
      <w:pPr>
        <w:rPr>
          <w:szCs w:val="20"/>
        </w:rPr>
      </w:pPr>
      <w:r w:rsidRPr="00281428">
        <w:rPr>
          <w:szCs w:val="20"/>
        </w:rPr>
        <w:t>The submitter provided proposed test procedures prior to the 2019 fall regional meetings for consideration at the 2020 NCWM Interim Meeting.</w:t>
      </w:r>
    </w:p>
    <w:p w14:paraId="7649B93E" w14:textId="77777777" w:rsidR="003B1A9B" w:rsidRPr="00281428" w:rsidRDefault="003B1A9B" w:rsidP="003B1A9B">
      <w:pPr>
        <w:rPr>
          <w:szCs w:val="20"/>
        </w:rPr>
      </w:pPr>
      <w:r w:rsidRPr="00281428">
        <w:rPr>
          <w:szCs w:val="20"/>
        </w:rPr>
        <w:t>Current test procedures are slow and awkward due to the need of using borosilicate glassware for package checking.  Digital density meters are fast, use small samples size (2 ml) and have built in thermometers.</w:t>
      </w:r>
    </w:p>
    <w:p w14:paraId="055463B5" w14:textId="3D4AE4AF" w:rsidR="003B1A9B" w:rsidRPr="00281428" w:rsidRDefault="003B1A9B" w:rsidP="003B1A9B">
      <w:pPr>
        <w:rPr>
          <w:szCs w:val="20"/>
        </w:rPr>
      </w:pPr>
      <w:r w:rsidRPr="00281428">
        <w:rPr>
          <w:szCs w:val="20"/>
        </w:rPr>
        <w:lastRenderedPageBreak/>
        <w:t xml:space="preserve">Digital density meters are fast and accurate in comparison with recognized Handbook 133 test procedures for viscous fluids.  Using digital density meters equipped with built-in API density tables will not require the cooling samples to 60 °F.  There is no need to “wet down” volumetric flasks before each measurement. </w:t>
      </w:r>
      <w:r w:rsidR="00C346F9" w:rsidRPr="00281428">
        <w:rPr>
          <w:szCs w:val="20"/>
        </w:rPr>
        <w:t xml:space="preserve"> </w:t>
      </w:r>
      <w:r w:rsidRPr="00281428">
        <w:rPr>
          <w:szCs w:val="20"/>
        </w:rPr>
        <w:t xml:space="preserve">Most non-food products may be recovered without contamination.  Only a small sample size (2 ml) of the product is needed for testing.  There is no need for a partial immersion thermometer or volumetric flasks.  The current method in “Section 3.4. Volumetric Test Procedures for Viscous Fluids – Headspace” does not work for </w:t>
      </w:r>
      <w:proofErr w:type="gramStart"/>
      <w:r w:rsidRPr="00281428">
        <w:rPr>
          <w:szCs w:val="20"/>
        </w:rPr>
        <w:t>plastic oblong</w:t>
      </w:r>
      <w:proofErr w:type="gramEnd"/>
      <w:r w:rsidRPr="00281428">
        <w:rPr>
          <w:szCs w:val="20"/>
        </w:rPr>
        <w:t xml:space="preserve"> bottles often used for motor oil.  This new test procedure would eliminate the entrapment of air in testing viscous fluids (</w:t>
      </w:r>
      <w:proofErr w:type="gramStart"/>
      <w:r w:rsidRPr="00281428">
        <w:rPr>
          <w:szCs w:val="20"/>
        </w:rPr>
        <w:t>i.e.</w:t>
      </w:r>
      <w:proofErr w:type="gramEnd"/>
      <w:r w:rsidRPr="00281428">
        <w:rPr>
          <w:szCs w:val="20"/>
        </w:rPr>
        <w:t xml:space="preserve"> motor oil, DEF, antifreeze, syrups, etc.)  Well established ASTM and other international standard test methods are available with precision statements.</w:t>
      </w:r>
    </w:p>
    <w:p w14:paraId="1181C4B0" w14:textId="4D1A6FCF" w:rsidR="003B1A9B" w:rsidRPr="00281428" w:rsidRDefault="003B1A9B" w:rsidP="003B1A9B">
      <w:pPr>
        <w:rPr>
          <w:szCs w:val="20"/>
        </w:rPr>
      </w:pPr>
      <w:r w:rsidRPr="00E21F41">
        <w:rPr>
          <w:szCs w:val="20"/>
          <w:u w:val="single"/>
        </w:rPr>
        <w:t xml:space="preserve">NCWM </w:t>
      </w:r>
      <w:r w:rsidR="0081217C">
        <w:rPr>
          <w:szCs w:val="20"/>
          <w:u w:val="single"/>
        </w:rPr>
        <w:t xml:space="preserve">2016 </w:t>
      </w:r>
      <w:r w:rsidRPr="00E21F41">
        <w:rPr>
          <w:szCs w:val="20"/>
          <w:u w:val="single"/>
        </w:rPr>
        <w:t>Interim Meeting</w:t>
      </w:r>
      <w:r w:rsidR="00E21F41">
        <w:rPr>
          <w:szCs w:val="20"/>
        </w:rPr>
        <w:t>:</w:t>
      </w:r>
      <w:r w:rsidRPr="00281428">
        <w:rPr>
          <w:szCs w:val="20"/>
        </w:rPr>
        <w:t xml:space="preserve"> Mr. Ron Hayes (</w:t>
      </w:r>
      <w:r w:rsidR="002F4E40">
        <w:rPr>
          <w:szCs w:val="20"/>
        </w:rPr>
        <w:t>MO,</w:t>
      </w:r>
      <w:r w:rsidR="00C346F9" w:rsidRPr="00281428">
        <w:rPr>
          <w:szCs w:val="20"/>
        </w:rPr>
        <w:t xml:space="preserve"> submitter</w:t>
      </w:r>
      <w:r w:rsidRPr="00281428">
        <w:rPr>
          <w:szCs w:val="20"/>
        </w:rPr>
        <w:t xml:space="preserve">) spoke </w:t>
      </w:r>
      <w:r w:rsidR="0012775D" w:rsidRPr="00281428">
        <w:rPr>
          <w:szCs w:val="20"/>
        </w:rPr>
        <w:t>regarding</w:t>
      </w:r>
      <w:r w:rsidRPr="00281428">
        <w:rPr>
          <w:szCs w:val="20"/>
        </w:rPr>
        <w:t xml:space="preserve"> his submittal of this proposal.  The Committee believes this item has merit and requested that the submitter form a focus group to further develop.  Mr. Hayes agreed that this item needs have additional data gathered to support the use and accuracy of the digital density meters.  API remarked that they would like to assist the task group on this project.  The Committee is making this a Developing Item.</w:t>
      </w:r>
    </w:p>
    <w:p w14:paraId="3A6354AD" w14:textId="2CC6FA42" w:rsidR="003B1A9B" w:rsidRPr="00281428" w:rsidRDefault="003B1A9B" w:rsidP="003B1A9B">
      <w:pPr>
        <w:rPr>
          <w:szCs w:val="20"/>
        </w:rPr>
      </w:pPr>
      <w:r w:rsidRPr="00E21F41">
        <w:rPr>
          <w:szCs w:val="20"/>
          <w:u w:val="single"/>
        </w:rPr>
        <w:t xml:space="preserve">NCWM </w:t>
      </w:r>
      <w:r w:rsidR="0081217C">
        <w:rPr>
          <w:szCs w:val="20"/>
          <w:u w:val="single"/>
        </w:rPr>
        <w:t xml:space="preserve">2017 </w:t>
      </w:r>
      <w:r w:rsidRPr="00E21F41">
        <w:rPr>
          <w:szCs w:val="20"/>
          <w:u w:val="single"/>
        </w:rPr>
        <w:t>Interim Meeting</w:t>
      </w:r>
      <w:r w:rsidR="00E21F41" w:rsidRPr="00E21F41">
        <w:rPr>
          <w:szCs w:val="20"/>
          <w:u w:val="single"/>
        </w:rPr>
        <w:t>:</w:t>
      </w:r>
      <w:r w:rsidR="00E21F41">
        <w:rPr>
          <w:szCs w:val="20"/>
        </w:rPr>
        <w:t xml:space="preserve">  T</w:t>
      </w:r>
      <w:r w:rsidRPr="00281428">
        <w:rPr>
          <w:szCs w:val="20"/>
        </w:rPr>
        <w:t>he submitter Mr. Hayes asked for the states to participate in a round robin to compare the current handbook test procedures with the density meter.  The Committee encouraged the submitter to develop a proposal by Fall 2017.</w:t>
      </w:r>
    </w:p>
    <w:p w14:paraId="0FB4484B" w14:textId="2EC9E8FC" w:rsidR="003B1A9B" w:rsidRPr="00281428" w:rsidRDefault="003B1A9B" w:rsidP="003B1A9B">
      <w:pPr>
        <w:rPr>
          <w:szCs w:val="20"/>
        </w:rPr>
      </w:pPr>
      <w:r w:rsidRPr="00E21F41">
        <w:rPr>
          <w:szCs w:val="20"/>
          <w:u w:val="single"/>
        </w:rPr>
        <w:t>NCWM</w:t>
      </w:r>
      <w:r w:rsidR="0081217C">
        <w:rPr>
          <w:szCs w:val="20"/>
          <w:u w:val="single"/>
        </w:rPr>
        <w:t xml:space="preserve"> 2018</w:t>
      </w:r>
      <w:r w:rsidRPr="00E21F41">
        <w:rPr>
          <w:szCs w:val="20"/>
          <w:u w:val="single"/>
        </w:rPr>
        <w:t xml:space="preserve"> Interim Meeting</w:t>
      </w:r>
      <w:r w:rsidR="00E21F41" w:rsidRPr="00E21F41">
        <w:rPr>
          <w:szCs w:val="20"/>
          <w:u w:val="single"/>
        </w:rPr>
        <w:t>:</w:t>
      </w:r>
      <w:r w:rsidR="00E21F41">
        <w:rPr>
          <w:szCs w:val="20"/>
        </w:rPr>
        <w:t xml:space="preserve"> </w:t>
      </w:r>
      <w:r w:rsidRPr="00281428">
        <w:rPr>
          <w:szCs w:val="20"/>
        </w:rPr>
        <w:t xml:space="preserve"> Mr. Hayes gave a presentation regarding this item.  Mr. Lou Sakin (</w:t>
      </w:r>
      <w:r w:rsidR="00B67F7F">
        <w:rPr>
          <w:szCs w:val="20"/>
        </w:rPr>
        <w:t>Hopkint</w:t>
      </w:r>
      <w:r w:rsidR="009D12B8">
        <w:rPr>
          <w:szCs w:val="20"/>
        </w:rPr>
        <w:t>on, MA</w:t>
      </w:r>
      <w:r w:rsidRPr="00281428">
        <w:rPr>
          <w:szCs w:val="20"/>
        </w:rPr>
        <w:t>) recommended this item be assigned with a specific timetable for development.  No other comments were heard on this developing item.  The L&amp;R Committee recommends this item as Developing to allow the submitter to finish developing test procedures and review with NIST/OWM staff.</w:t>
      </w:r>
    </w:p>
    <w:p w14:paraId="124617C0" w14:textId="71E4FE76" w:rsidR="003B1A9B" w:rsidRPr="00281428" w:rsidRDefault="003B1A9B" w:rsidP="003B1A9B">
      <w:pPr>
        <w:rPr>
          <w:szCs w:val="20"/>
        </w:rPr>
      </w:pPr>
      <w:r w:rsidRPr="00E21F41">
        <w:rPr>
          <w:szCs w:val="20"/>
          <w:u w:val="single"/>
        </w:rPr>
        <w:t xml:space="preserve">NCWM </w:t>
      </w:r>
      <w:r w:rsidR="0081217C">
        <w:rPr>
          <w:szCs w:val="20"/>
          <w:u w:val="single"/>
        </w:rPr>
        <w:t xml:space="preserve">2018 </w:t>
      </w:r>
      <w:r w:rsidRPr="00E21F41">
        <w:rPr>
          <w:szCs w:val="20"/>
          <w:u w:val="single"/>
        </w:rPr>
        <w:t>Annual Meeting</w:t>
      </w:r>
      <w:r w:rsidR="00E21F41">
        <w:rPr>
          <w:szCs w:val="20"/>
        </w:rPr>
        <w:t xml:space="preserve">: </w:t>
      </w:r>
      <w:r w:rsidRPr="00281428">
        <w:rPr>
          <w:szCs w:val="20"/>
        </w:rPr>
        <w:t xml:space="preserve"> Mr. Hayes provided an update that he has been doing testing and getting repeatability with his results.  Mr. Hayes remarked that when NIST OWM was teaching a Handbook 133 Basic course in Missouri he had an opportunity to use the density meter on some of the test procedures.</w:t>
      </w:r>
    </w:p>
    <w:p w14:paraId="2609E490" w14:textId="30E9A5C4" w:rsidR="003B1A9B" w:rsidRPr="00281428" w:rsidRDefault="003B1A9B" w:rsidP="003B1A9B">
      <w:pPr>
        <w:rPr>
          <w:szCs w:val="20"/>
        </w:rPr>
      </w:pPr>
      <w:r w:rsidRPr="00E21F41">
        <w:rPr>
          <w:szCs w:val="20"/>
          <w:u w:val="single"/>
        </w:rPr>
        <w:t>NCWM</w:t>
      </w:r>
      <w:r w:rsidR="0081217C">
        <w:rPr>
          <w:szCs w:val="20"/>
          <w:u w:val="single"/>
        </w:rPr>
        <w:t xml:space="preserve"> 2019</w:t>
      </w:r>
      <w:r w:rsidRPr="00E21F41">
        <w:rPr>
          <w:szCs w:val="20"/>
          <w:u w:val="single"/>
        </w:rPr>
        <w:t xml:space="preserve"> Interim Meeting</w:t>
      </w:r>
      <w:r w:rsidR="00E21F41" w:rsidRPr="00E21F41">
        <w:rPr>
          <w:szCs w:val="20"/>
          <w:u w:val="single"/>
        </w:rPr>
        <w:t>:</w:t>
      </w:r>
      <w:r w:rsidR="00E21F41">
        <w:rPr>
          <w:szCs w:val="20"/>
        </w:rPr>
        <w:t xml:space="preserve">  T</w:t>
      </w:r>
      <w:r w:rsidRPr="00281428">
        <w:rPr>
          <w:szCs w:val="20"/>
        </w:rPr>
        <w:t xml:space="preserve">he submitter of this item stated he is close to having an updated proposal posted to the NCWM website.  A Michigan regulator stated his desire to see this item remain developing.  The Committee recommends this item remain Developing with the stipulation, that if new language is not provided by the 2019 NCWM Annual Meeting, the item will be </w:t>
      </w:r>
      <w:r w:rsidR="009D12B8">
        <w:rPr>
          <w:szCs w:val="20"/>
        </w:rPr>
        <w:t>W</w:t>
      </w:r>
      <w:r w:rsidRPr="00281428">
        <w:rPr>
          <w:szCs w:val="20"/>
        </w:rPr>
        <w:t>ithdrawn.</w:t>
      </w:r>
    </w:p>
    <w:p w14:paraId="64922A8C" w14:textId="06401C46" w:rsidR="003B1A9B" w:rsidRPr="00281428" w:rsidRDefault="003B1A9B" w:rsidP="003B1A9B">
      <w:pPr>
        <w:rPr>
          <w:szCs w:val="20"/>
        </w:rPr>
      </w:pPr>
      <w:r w:rsidRPr="00E21F41">
        <w:rPr>
          <w:szCs w:val="20"/>
          <w:u w:val="single"/>
        </w:rPr>
        <w:t xml:space="preserve">NCWM </w:t>
      </w:r>
      <w:r w:rsidR="0081217C">
        <w:rPr>
          <w:szCs w:val="20"/>
          <w:u w:val="single"/>
        </w:rPr>
        <w:t xml:space="preserve">2019 </w:t>
      </w:r>
      <w:r w:rsidRPr="00E21F41">
        <w:rPr>
          <w:szCs w:val="20"/>
          <w:u w:val="single"/>
        </w:rPr>
        <w:t>Annual Meeting</w:t>
      </w:r>
      <w:r w:rsidR="00E21F41" w:rsidRPr="00E21F41">
        <w:rPr>
          <w:szCs w:val="20"/>
          <w:u w:val="single"/>
        </w:rPr>
        <w:t>:</w:t>
      </w:r>
      <w:r w:rsidRPr="00281428">
        <w:rPr>
          <w:szCs w:val="20"/>
        </w:rPr>
        <w:t xml:space="preserve"> Mr. Hayes commented that he has a draft of his proposal on the NCWM L&amp;R supporting document website.  Mr. Hayes continues to work with states who use the density meters to develop an item under consideration.  He also continues to work on the alpha correction.</w:t>
      </w:r>
    </w:p>
    <w:p w14:paraId="56772C94" w14:textId="33468DCC" w:rsidR="003B1A9B" w:rsidRDefault="003B1A9B" w:rsidP="003B1A9B">
      <w:pPr>
        <w:rPr>
          <w:szCs w:val="20"/>
        </w:rPr>
      </w:pPr>
      <w:r w:rsidRPr="00E21F41">
        <w:rPr>
          <w:szCs w:val="20"/>
          <w:u w:val="single"/>
        </w:rPr>
        <w:t xml:space="preserve">NCWM </w:t>
      </w:r>
      <w:r w:rsidR="0081217C">
        <w:rPr>
          <w:szCs w:val="20"/>
          <w:u w:val="single"/>
        </w:rPr>
        <w:t xml:space="preserve">2020 </w:t>
      </w:r>
      <w:r w:rsidRPr="00E21F41">
        <w:rPr>
          <w:szCs w:val="20"/>
          <w:u w:val="single"/>
        </w:rPr>
        <w:t>Interim Meeting</w:t>
      </w:r>
      <w:r w:rsidR="00E21F41" w:rsidRPr="00E21F41">
        <w:rPr>
          <w:szCs w:val="20"/>
          <w:u w:val="single"/>
        </w:rPr>
        <w:t>:</w:t>
      </w:r>
      <w:r w:rsidRPr="00281428">
        <w:rPr>
          <w:szCs w:val="20"/>
        </w:rPr>
        <w:t xml:space="preserve"> Mr. Kevin </w:t>
      </w:r>
      <w:r w:rsidRPr="00281428">
        <w:rPr>
          <w:color w:val="000000" w:themeColor="text1"/>
          <w:szCs w:val="20"/>
        </w:rPr>
        <w:t>Upshulte (</w:t>
      </w:r>
      <w:r w:rsidR="009D12B8">
        <w:rPr>
          <w:color w:val="000000" w:themeColor="text1"/>
          <w:szCs w:val="20"/>
        </w:rPr>
        <w:t>MO</w:t>
      </w:r>
      <w:r w:rsidRPr="00281428">
        <w:rPr>
          <w:color w:val="000000" w:themeColor="text1"/>
          <w:szCs w:val="20"/>
        </w:rPr>
        <w:t xml:space="preserve">), </w:t>
      </w:r>
      <w:r w:rsidRPr="00281428">
        <w:rPr>
          <w:szCs w:val="20"/>
        </w:rPr>
        <w:t>and Mr. Charles Stutesman (</w:t>
      </w:r>
      <w:r w:rsidR="009D12B8">
        <w:rPr>
          <w:szCs w:val="20"/>
        </w:rPr>
        <w:t>KS</w:t>
      </w:r>
      <w:r w:rsidRPr="00281428">
        <w:rPr>
          <w:szCs w:val="20"/>
        </w:rPr>
        <w:t xml:space="preserve">) remarked that the submitter has fully developed the language and it is ready to move forward.  Ms. Lisa Warfield (NIST OWM) remarked that the purpose statement identifies it is to be used for motor oils, diesel exhaust fluid, and antifreeze.  It appears with the latest language has now includes juices, </w:t>
      </w:r>
      <w:r w:rsidR="009D12B8" w:rsidRPr="00281428">
        <w:rPr>
          <w:szCs w:val="20"/>
        </w:rPr>
        <w:t>syrups,</w:t>
      </w:r>
      <w:r w:rsidRPr="00281428">
        <w:rPr>
          <w:szCs w:val="20"/>
        </w:rPr>
        <w:t xml:space="preserve"> and vegetable oils.  The data submitted only reflects one brand of density meters and there are many types available for use.  The Committee would like the submitter to take into consideration comments heard at the regional and NCWM meetings in further development this item.   The Committee does not believe this item is fully developed and returned to the submitter.</w:t>
      </w:r>
    </w:p>
    <w:p w14:paraId="7385FF93" w14:textId="0DA9AA5C" w:rsidR="00554191" w:rsidRPr="00554191" w:rsidRDefault="00554191" w:rsidP="003B1A9B">
      <w:pPr>
        <w:rPr>
          <w:szCs w:val="20"/>
        </w:rPr>
      </w:pPr>
      <w:r w:rsidRPr="00554191">
        <w:rPr>
          <w:u w:val="single"/>
        </w:rPr>
        <w:t xml:space="preserve">NCWM </w:t>
      </w:r>
      <w:r w:rsidR="0081217C">
        <w:rPr>
          <w:u w:val="single"/>
        </w:rPr>
        <w:t xml:space="preserve">2020 </w:t>
      </w:r>
      <w:r w:rsidRPr="00554191">
        <w:rPr>
          <w:u w:val="single"/>
        </w:rPr>
        <w:t>Annual Meeting</w:t>
      </w:r>
      <w:r w:rsidRPr="00554191">
        <w:t>: Due to the 2020 Covid-19 pandemic, this meeting was adjourned to January 2021, at which time it was held as a virtual meeting.  Due to constraint of time, only those items designated as 2020 Voting Items were addressed.  All other items were addressed in the subsequent 2021 NCWM Interim Meeting.</w:t>
      </w:r>
    </w:p>
    <w:p w14:paraId="15E8AD04" w14:textId="5436AE77" w:rsidR="00C346F9" w:rsidRPr="00281428" w:rsidRDefault="00C346F9" w:rsidP="003B1A9B">
      <w:pPr>
        <w:rPr>
          <w:szCs w:val="20"/>
        </w:rPr>
      </w:pPr>
      <w:r w:rsidRPr="00E21F41">
        <w:rPr>
          <w:szCs w:val="20"/>
          <w:u w:val="single"/>
        </w:rPr>
        <w:t xml:space="preserve">NCWM </w:t>
      </w:r>
      <w:r w:rsidR="0081217C">
        <w:rPr>
          <w:szCs w:val="20"/>
          <w:u w:val="single"/>
        </w:rPr>
        <w:t xml:space="preserve">2021 </w:t>
      </w:r>
      <w:r w:rsidRPr="00E21F41">
        <w:rPr>
          <w:szCs w:val="20"/>
          <w:u w:val="single"/>
        </w:rPr>
        <w:t>Interim Meeting</w:t>
      </w:r>
      <w:r w:rsidR="00E21F41" w:rsidRPr="00E21F41">
        <w:rPr>
          <w:szCs w:val="20"/>
          <w:u w:val="single"/>
        </w:rPr>
        <w:t>:</w:t>
      </w:r>
      <w:r w:rsidRPr="00281428">
        <w:rPr>
          <w:szCs w:val="20"/>
        </w:rPr>
        <w:t xml:space="preserve"> </w:t>
      </w:r>
      <w:r w:rsidR="00FA2588">
        <w:rPr>
          <w:szCs w:val="20"/>
        </w:rPr>
        <w:t>T</w:t>
      </w:r>
      <w:r w:rsidR="005F2D7F" w:rsidRPr="00281428">
        <w:rPr>
          <w:szCs w:val="20"/>
        </w:rPr>
        <w:t>he Committee reviewed the regional association reports.   They were unable to locate the updated language document mentioned in the CWMA 2020 Interim Report (</w:t>
      </w:r>
      <w:r w:rsidR="00FC49B1" w:rsidRPr="00281428">
        <w:rPr>
          <w:szCs w:val="20"/>
        </w:rPr>
        <w:t xml:space="preserve">either on </w:t>
      </w:r>
      <w:r w:rsidR="005F2D7F" w:rsidRPr="00281428">
        <w:rPr>
          <w:szCs w:val="20"/>
        </w:rPr>
        <w:t xml:space="preserve">the CWMA or NCWM website).    </w:t>
      </w:r>
    </w:p>
    <w:p w14:paraId="5263E5ED" w14:textId="080E89B6" w:rsidR="005F2D7F" w:rsidRPr="00281428" w:rsidRDefault="005F2D7F" w:rsidP="005F2D7F">
      <w:pPr>
        <w:pStyle w:val="ListParagraph"/>
        <w:numPr>
          <w:ilvl w:val="0"/>
          <w:numId w:val="74"/>
        </w:numPr>
        <w:rPr>
          <w:szCs w:val="20"/>
        </w:rPr>
      </w:pPr>
      <w:r w:rsidRPr="00281428">
        <w:rPr>
          <w:szCs w:val="20"/>
        </w:rPr>
        <w:lastRenderedPageBreak/>
        <w:t>Review of comments from the submitter within the S&amp;T report (2017) which stated, “</w:t>
      </w:r>
      <w:r w:rsidRPr="00281428">
        <w:rPr>
          <w:i/>
          <w:szCs w:val="20"/>
        </w:rPr>
        <w:t xml:space="preserve">Fundamental Considerations of NIST Handbook 44 be considered in defining the suitability criteria of any density meter used in testing.  Ms. Butcher also suggested it may be that the NIST EPOs, training materials, or other guidance documents might be a more appropriate place(s) to specify details regarding the selection and use of this equipment and to provide details on its specifications.” </w:t>
      </w:r>
      <w:r w:rsidRPr="00281428">
        <w:rPr>
          <w:szCs w:val="20"/>
        </w:rPr>
        <w:t xml:space="preserve">and </w:t>
      </w:r>
      <w:r w:rsidRPr="00281428">
        <w:rPr>
          <w:i/>
          <w:szCs w:val="20"/>
        </w:rPr>
        <w:t>“the item should be included in other documents such as NIST Handbooks 112 and 105.”</w:t>
      </w:r>
    </w:p>
    <w:p w14:paraId="30C5CF87" w14:textId="658F460F" w:rsidR="005F2D7F" w:rsidRPr="00281428" w:rsidRDefault="005F2D7F" w:rsidP="005F2D7F">
      <w:pPr>
        <w:pStyle w:val="ListParagraph"/>
        <w:numPr>
          <w:ilvl w:val="0"/>
          <w:numId w:val="74"/>
        </w:numPr>
        <w:rPr>
          <w:szCs w:val="20"/>
        </w:rPr>
      </w:pPr>
      <w:r w:rsidRPr="00281428">
        <w:rPr>
          <w:iCs/>
          <w:szCs w:val="20"/>
        </w:rPr>
        <w:t>The test procedure should be written in a format that an inspector can use in the field.   This would eliminate the use of active spreadsheets.</w:t>
      </w:r>
    </w:p>
    <w:p w14:paraId="4699BDB9" w14:textId="77777777" w:rsidR="0017488E" w:rsidRPr="00281428" w:rsidRDefault="005F2D7F" w:rsidP="005F2D7F">
      <w:pPr>
        <w:pStyle w:val="ListParagraph"/>
        <w:numPr>
          <w:ilvl w:val="0"/>
          <w:numId w:val="74"/>
        </w:numPr>
        <w:rPr>
          <w:szCs w:val="20"/>
        </w:rPr>
      </w:pPr>
      <w:r w:rsidRPr="00281428">
        <w:rPr>
          <w:iCs/>
          <w:szCs w:val="20"/>
        </w:rPr>
        <w:t xml:space="preserve">The purpose was for testing of viscous fluids such as motor oils, diesel exhaust fluid (DEF), and antifreeze.  The submitter should refocus on those </w:t>
      </w:r>
      <w:proofErr w:type="gramStart"/>
      <w:r w:rsidR="0017488E" w:rsidRPr="00281428">
        <w:rPr>
          <w:iCs/>
          <w:szCs w:val="20"/>
        </w:rPr>
        <w:t>particular items</w:t>
      </w:r>
      <w:proofErr w:type="gramEnd"/>
      <w:r w:rsidR="0017488E" w:rsidRPr="00281428">
        <w:rPr>
          <w:iCs/>
          <w:szCs w:val="20"/>
        </w:rPr>
        <w:t xml:space="preserve">.  </w:t>
      </w:r>
    </w:p>
    <w:p w14:paraId="447FA2B6" w14:textId="66AB1840" w:rsidR="005F2D7F" w:rsidRPr="00281428" w:rsidRDefault="0017488E" w:rsidP="005F2D7F">
      <w:pPr>
        <w:pStyle w:val="ListParagraph"/>
        <w:numPr>
          <w:ilvl w:val="0"/>
          <w:numId w:val="74"/>
        </w:numPr>
        <w:rPr>
          <w:szCs w:val="20"/>
        </w:rPr>
      </w:pPr>
      <w:r w:rsidRPr="00281428">
        <w:rPr>
          <w:iCs/>
          <w:szCs w:val="20"/>
        </w:rPr>
        <w:t xml:space="preserve">There is a lack of a step-by-step procedure.  The test procedure should be done in a clear and concise format so that inspectors understand it. </w:t>
      </w:r>
    </w:p>
    <w:p w14:paraId="0DB4A5BD" w14:textId="5A0C622A" w:rsidR="0017488E" w:rsidRPr="00281428" w:rsidRDefault="0017488E" w:rsidP="005F2D7F">
      <w:pPr>
        <w:pStyle w:val="ListParagraph"/>
        <w:numPr>
          <w:ilvl w:val="0"/>
          <w:numId w:val="74"/>
        </w:numPr>
        <w:rPr>
          <w:szCs w:val="20"/>
        </w:rPr>
      </w:pPr>
      <w:r w:rsidRPr="00281428">
        <w:rPr>
          <w:iCs/>
          <w:szCs w:val="20"/>
        </w:rPr>
        <w:t>Copyrighted materials cannot be reproduced without permission from the manufacturer.</w:t>
      </w:r>
    </w:p>
    <w:p w14:paraId="281ED3A1" w14:textId="164AF2F7" w:rsidR="0017488E" w:rsidRPr="00281428" w:rsidRDefault="0017488E" w:rsidP="005F2D7F">
      <w:pPr>
        <w:pStyle w:val="ListParagraph"/>
        <w:numPr>
          <w:ilvl w:val="0"/>
          <w:numId w:val="74"/>
        </w:numPr>
        <w:rPr>
          <w:szCs w:val="20"/>
        </w:rPr>
      </w:pPr>
      <w:r w:rsidRPr="00281428">
        <w:rPr>
          <w:iCs/>
          <w:szCs w:val="20"/>
        </w:rPr>
        <w:t>Look into other digital density meters in the marketplace</w:t>
      </w:r>
      <w:r w:rsidR="00CF4099" w:rsidRPr="00281428">
        <w:rPr>
          <w:iCs/>
          <w:szCs w:val="20"/>
        </w:rPr>
        <w:t>.</w:t>
      </w:r>
    </w:p>
    <w:p w14:paraId="5457B3DD" w14:textId="1125C09D" w:rsidR="00CF4099" w:rsidRPr="00281428" w:rsidRDefault="00CF4099" w:rsidP="005F2D7F">
      <w:pPr>
        <w:pStyle w:val="ListParagraph"/>
        <w:numPr>
          <w:ilvl w:val="0"/>
          <w:numId w:val="74"/>
        </w:numPr>
        <w:rPr>
          <w:szCs w:val="20"/>
        </w:rPr>
      </w:pPr>
      <w:r w:rsidRPr="00281428">
        <w:rPr>
          <w:iCs/>
          <w:szCs w:val="20"/>
        </w:rPr>
        <w:t>Where does an inspector find the coefficient of expansion for a product?    There is a table referenced but not found within the documents “</w:t>
      </w:r>
      <w:r w:rsidRPr="00281428">
        <w:rPr>
          <w:b/>
          <w:bCs/>
          <w:iCs/>
          <w:szCs w:val="20"/>
          <w:u w:val="single"/>
        </w:rPr>
        <w:t>See Table 3-X.  Reference Temperatures of Liquids.</w:t>
      </w:r>
    </w:p>
    <w:p w14:paraId="71F03A3B" w14:textId="7941DA19" w:rsidR="007B1F5E" w:rsidRPr="00281428" w:rsidRDefault="007B1F5E" w:rsidP="005F2D7F">
      <w:pPr>
        <w:pStyle w:val="ListParagraph"/>
        <w:numPr>
          <w:ilvl w:val="0"/>
          <w:numId w:val="74"/>
        </w:numPr>
        <w:rPr>
          <w:szCs w:val="20"/>
        </w:rPr>
      </w:pPr>
      <w:r w:rsidRPr="00281428">
        <w:rPr>
          <w:szCs w:val="20"/>
        </w:rPr>
        <w:t>The</w:t>
      </w:r>
      <w:r w:rsidR="00CF4099" w:rsidRPr="00281428">
        <w:rPr>
          <w:szCs w:val="20"/>
        </w:rPr>
        <w:t xml:space="preserve"> correction process </w:t>
      </w:r>
      <w:r w:rsidRPr="00281428">
        <w:rPr>
          <w:szCs w:val="20"/>
        </w:rPr>
        <w:t xml:space="preserve">is written </w:t>
      </w:r>
      <w:r w:rsidR="00CF4099" w:rsidRPr="00281428">
        <w:rPr>
          <w:szCs w:val="20"/>
        </w:rPr>
        <w:t xml:space="preserve">in the top part of the </w:t>
      </w:r>
      <w:r w:rsidR="00F87AF9" w:rsidRPr="00281428">
        <w:rPr>
          <w:szCs w:val="20"/>
        </w:rPr>
        <w:t>T</w:t>
      </w:r>
      <w:r w:rsidR="00CF4099" w:rsidRPr="00281428">
        <w:rPr>
          <w:szCs w:val="20"/>
        </w:rPr>
        <w:t>able 3.X.X. but where do the “approximate viscosities” and “corrections” come from</w:t>
      </w:r>
      <w:r w:rsidRPr="00281428">
        <w:rPr>
          <w:szCs w:val="20"/>
        </w:rPr>
        <w:t xml:space="preserve">?  </w:t>
      </w:r>
      <w:r w:rsidR="009E3338" w:rsidRPr="00281428">
        <w:rPr>
          <w:szCs w:val="20"/>
        </w:rPr>
        <w:t>Has it</w:t>
      </w:r>
      <w:r w:rsidRPr="00281428">
        <w:rPr>
          <w:szCs w:val="20"/>
        </w:rPr>
        <w:t xml:space="preserve"> been </w:t>
      </w:r>
      <w:r w:rsidR="00CF4099" w:rsidRPr="00281428">
        <w:rPr>
          <w:szCs w:val="20"/>
        </w:rPr>
        <w:t xml:space="preserve">verified?  </w:t>
      </w:r>
      <w:r w:rsidRPr="00281428">
        <w:rPr>
          <w:szCs w:val="20"/>
        </w:rPr>
        <w:t xml:space="preserve">If so, where is the supporting data? </w:t>
      </w:r>
    </w:p>
    <w:p w14:paraId="705B1303" w14:textId="25B73981" w:rsidR="00CF4099" w:rsidRPr="00281428" w:rsidRDefault="00CF4099" w:rsidP="005F2D7F">
      <w:pPr>
        <w:pStyle w:val="ListParagraph"/>
        <w:numPr>
          <w:ilvl w:val="0"/>
          <w:numId w:val="74"/>
        </w:numPr>
        <w:rPr>
          <w:szCs w:val="20"/>
        </w:rPr>
      </w:pPr>
      <w:r w:rsidRPr="00281428">
        <w:rPr>
          <w:szCs w:val="20"/>
        </w:rPr>
        <w:t>Do all meters use the same correction values or are they unique to the different devices?</w:t>
      </w:r>
    </w:p>
    <w:p w14:paraId="0125C9DB" w14:textId="3EDE6147" w:rsidR="007B1F5E" w:rsidRPr="00281428" w:rsidRDefault="007B1F5E" w:rsidP="005F2D7F">
      <w:pPr>
        <w:pStyle w:val="ListParagraph"/>
        <w:numPr>
          <w:ilvl w:val="0"/>
          <w:numId w:val="74"/>
        </w:numPr>
        <w:rPr>
          <w:szCs w:val="20"/>
        </w:rPr>
      </w:pPr>
      <w:r w:rsidRPr="00281428">
        <w:rPr>
          <w:szCs w:val="20"/>
        </w:rPr>
        <w:t>Do all the meters have a feature that allows for the correction function to be disabled to allow an inspector to enter a known correction factor for the product?  It should be noted that the correction factor must be recorded so that the manufacturer knows exactly how the density was obtained.</w:t>
      </w:r>
    </w:p>
    <w:p w14:paraId="07EFC690" w14:textId="22865CD3" w:rsidR="0017488E" w:rsidRPr="00281428" w:rsidRDefault="0017488E" w:rsidP="002F0196">
      <w:pPr>
        <w:pStyle w:val="ListParagraph"/>
        <w:numPr>
          <w:ilvl w:val="0"/>
          <w:numId w:val="74"/>
        </w:numPr>
        <w:rPr>
          <w:szCs w:val="20"/>
        </w:rPr>
      </w:pPr>
      <w:r w:rsidRPr="00281428">
        <w:rPr>
          <w:iCs/>
          <w:szCs w:val="20"/>
        </w:rPr>
        <w:t>Provide data to the Conference on the testing and repeatability.</w:t>
      </w:r>
    </w:p>
    <w:p w14:paraId="17A3D74F" w14:textId="41871D70" w:rsidR="007B1F5E" w:rsidRPr="00281428" w:rsidRDefault="007B1F5E" w:rsidP="002F0196">
      <w:pPr>
        <w:pStyle w:val="ListParagraph"/>
        <w:numPr>
          <w:ilvl w:val="0"/>
          <w:numId w:val="74"/>
        </w:numPr>
        <w:rPr>
          <w:szCs w:val="20"/>
        </w:rPr>
      </w:pPr>
      <w:r w:rsidRPr="00281428">
        <w:rPr>
          <w:szCs w:val="20"/>
        </w:rPr>
        <w:t>Inspector may believe that if they are in HB133 they are appropriate for use in enforcement.  At best they should only be used audit inspections.  The cost of the equipment should be factored into whether there is value to develop for audit only type inspections.</w:t>
      </w:r>
    </w:p>
    <w:p w14:paraId="38916063" w14:textId="59EDB82C" w:rsidR="0050223A" w:rsidRPr="00281428" w:rsidRDefault="0050223A" w:rsidP="00281428">
      <w:pPr>
        <w:rPr>
          <w:szCs w:val="20"/>
        </w:rPr>
      </w:pPr>
      <w:r w:rsidRPr="00281428">
        <w:rPr>
          <w:szCs w:val="20"/>
        </w:rPr>
        <w:t>For the reasons stated above the Committee recommended this item be Withdrawn.</w:t>
      </w:r>
    </w:p>
    <w:p w14:paraId="3636A0E5" w14:textId="77777777" w:rsidR="00A00E0F" w:rsidRPr="00281428" w:rsidRDefault="00A00E0F" w:rsidP="00A00E0F">
      <w:pPr>
        <w:keepNext/>
        <w:keepLines/>
        <w:spacing w:after="120"/>
        <w:rPr>
          <w:szCs w:val="20"/>
        </w:rPr>
      </w:pPr>
      <w:r w:rsidRPr="00281428">
        <w:rPr>
          <w:b/>
          <w:szCs w:val="20"/>
        </w:rPr>
        <w:t>Regional Association Comments:</w:t>
      </w:r>
    </w:p>
    <w:p w14:paraId="5BF54E7D" w14:textId="35EACDF8" w:rsidR="003B1A9B" w:rsidRPr="00281428" w:rsidRDefault="003B1A9B" w:rsidP="003B1A9B">
      <w:pPr>
        <w:rPr>
          <w:rFonts w:eastAsia="Times New Roman"/>
          <w:szCs w:val="24"/>
        </w:rPr>
      </w:pPr>
      <w:r w:rsidRPr="00281428">
        <w:rPr>
          <w:szCs w:val="20"/>
          <w:u w:val="single"/>
        </w:rPr>
        <w:t>WWMA 2019 Annual Meeting:</w:t>
      </w:r>
      <w:r w:rsidRPr="00281428">
        <w:rPr>
          <w:szCs w:val="20"/>
        </w:rPr>
        <w:t xml:space="preserve">  </w:t>
      </w:r>
      <w:r w:rsidRPr="00281428">
        <w:rPr>
          <w:rFonts w:eastAsia="Times New Roman"/>
          <w:szCs w:val="24"/>
        </w:rPr>
        <w:t xml:space="preserve">The Committee heard testimony that the language needs to be written generically for all density meter types. </w:t>
      </w:r>
      <w:r w:rsidR="0028434F">
        <w:rPr>
          <w:rFonts w:eastAsia="Times New Roman"/>
          <w:szCs w:val="24"/>
        </w:rPr>
        <w:t xml:space="preserve"> </w:t>
      </w:r>
      <w:r w:rsidRPr="00281428">
        <w:rPr>
          <w:rFonts w:eastAsia="Times New Roman"/>
          <w:szCs w:val="24"/>
        </w:rPr>
        <w:t>The WWMA reviewed the background information and many of the same concerns and issues cited were raised at their meeting.  The submitter’s purpose statement on his proposal specified that the test procedure would be for motor oils, diesel exhaust fluid (DEF) and antifreeze however, the submitted document does not correlate with this purpose statement.</w:t>
      </w:r>
    </w:p>
    <w:p w14:paraId="6CD1004D" w14:textId="77777777" w:rsidR="003B1A9B" w:rsidRPr="00281428" w:rsidRDefault="003B1A9B" w:rsidP="003B1A9B">
      <w:pPr>
        <w:rPr>
          <w:rFonts w:eastAsia="Times New Roman"/>
          <w:i/>
          <w:szCs w:val="24"/>
        </w:rPr>
      </w:pPr>
      <w:r w:rsidRPr="00281428">
        <w:rPr>
          <w:rFonts w:eastAsia="Times New Roman"/>
          <w:szCs w:val="24"/>
        </w:rPr>
        <w:t>The Committee believes that a proposal for the device specifications should be submitted prior to the finalization of the HB133 proposal.  Suggestions were provided to the submitter from the S&amp;T in 2017 which stated, “</w:t>
      </w:r>
      <w:r w:rsidRPr="00281428">
        <w:rPr>
          <w:rFonts w:eastAsia="Times New Roman"/>
          <w:i/>
          <w:szCs w:val="24"/>
        </w:rPr>
        <w:t xml:space="preserve">Fundamental Considerations of NIST Handbook 44 be considered in defining the suitability criteria of any density meter used in testing.  Ms. Butcher also suggested it may be that the NIST EPOs, training materials, or other guidance documents might be a more appropriate place(s) to specify details regarding the selection and use of this equipment and to provide details on its specifications.” </w:t>
      </w:r>
      <w:r w:rsidRPr="00281428">
        <w:rPr>
          <w:rFonts w:eastAsia="Times New Roman"/>
          <w:szCs w:val="24"/>
        </w:rPr>
        <w:t xml:space="preserve">and </w:t>
      </w:r>
      <w:r w:rsidRPr="00281428">
        <w:rPr>
          <w:rFonts w:eastAsia="Times New Roman"/>
          <w:i/>
          <w:szCs w:val="24"/>
        </w:rPr>
        <w:t>“the item should be included in other documents such as NIST Handbooks 112 and 105.”</w:t>
      </w:r>
    </w:p>
    <w:p w14:paraId="29058395" w14:textId="7706C34A" w:rsidR="003B1A9B" w:rsidRPr="00281428" w:rsidRDefault="003B1A9B" w:rsidP="003B1A9B">
      <w:pPr>
        <w:rPr>
          <w:szCs w:val="20"/>
          <w:u w:val="single"/>
        </w:rPr>
      </w:pPr>
      <w:r w:rsidRPr="00281428">
        <w:rPr>
          <w:rFonts w:eastAsia="Times New Roman"/>
          <w:szCs w:val="24"/>
        </w:rPr>
        <w:lastRenderedPageBreak/>
        <w:t xml:space="preserve">The Committee would like to see this remain Developing with the submitter addressing the issues that the WWMA and other regional associations have documented. </w:t>
      </w:r>
      <w:r w:rsidR="00C346F9" w:rsidRPr="00281428">
        <w:rPr>
          <w:rFonts w:eastAsia="Times New Roman"/>
          <w:szCs w:val="24"/>
        </w:rPr>
        <w:t xml:space="preserve"> </w:t>
      </w:r>
      <w:r w:rsidRPr="00281428">
        <w:rPr>
          <w:rFonts w:eastAsia="Times New Roman"/>
          <w:szCs w:val="24"/>
        </w:rPr>
        <w:t>The WWMA is recommending that this item be Withdrawn if updated work efforts are not submitted to the NCWM L&amp;R by January 2020.</w:t>
      </w:r>
    </w:p>
    <w:p w14:paraId="5395BD79" w14:textId="470EDF38" w:rsidR="003B1A9B" w:rsidRPr="00281428" w:rsidRDefault="003B1A9B" w:rsidP="003B1A9B">
      <w:pPr>
        <w:rPr>
          <w:szCs w:val="20"/>
        </w:rPr>
      </w:pPr>
      <w:r w:rsidRPr="00281428">
        <w:rPr>
          <w:szCs w:val="20"/>
          <w:u w:val="single"/>
        </w:rPr>
        <w:t>SWMA 2019 Annual Meeting:</w:t>
      </w:r>
      <w:r w:rsidRPr="00281428">
        <w:rPr>
          <w:szCs w:val="20"/>
        </w:rPr>
        <w:t xml:space="preserve">  </w:t>
      </w:r>
      <w:r w:rsidRPr="00281428">
        <w:rPr>
          <w:rFonts w:eastAsia="Times New Roman"/>
          <w:szCs w:val="24"/>
        </w:rPr>
        <w:t>The Committee reviewed the modified proposal and data submitted by Mr. Ron Hayes (</w:t>
      </w:r>
      <w:r w:rsidR="007C7FD9">
        <w:rPr>
          <w:rFonts w:eastAsia="Times New Roman"/>
          <w:szCs w:val="24"/>
        </w:rPr>
        <w:t xml:space="preserve">MO, </w:t>
      </w:r>
      <w:r w:rsidR="00C346F9" w:rsidRPr="00281428">
        <w:rPr>
          <w:rFonts w:eastAsia="Times New Roman"/>
          <w:szCs w:val="24"/>
        </w:rPr>
        <w:t>submitter</w:t>
      </w:r>
      <w:r w:rsidRPr="00281428">
        <w:rPr>
          <w:rFonts w:eastAsia="Times New Roman"/>
          <w:szCs w:val="24"/>
        </w:rPr>
        <w:t>).  This procedure needs to be written in generic format to meet specifications for meters that are in the marketplace.  The Committee would like this item to be Developing.  They also request that the submitter change his purpose statement or apply the test procedure to what is currently stated in the document.</w:t>
      </w:r>
    </w:p>
    <w:p w14:paraId="3292BCB3" w14:textId="3524488B" w:rsidR="003B1A9B" w:rsidRDefault="003B1A9B" w:rsidP="003B1A9B">
      <w:pPr>
        <w:rPr>
          <w:rFonts w:eastAsia="Times New Roman"/>
          <w:szCs w:val="24"/>
        </w:rPr>
      </w:pPr>
      <w:r w:rsidRPr="00281428">
        <w:rPr>
          <w:szCs w:val="20"/>
          <w:u w:val="single"/>
        </w:rPr>
        <w:t>NEWMA 2019 Interim Meeting:</w:t>
      </w:r>
      <w:r w:rsidRPr="00281428">
        <w:rPr>
          <w:szCs w:val="20"/>
        </w:rPr>
        <w:t xml:space="preserve">  </w:t>
      </w:r>
      <w:r w:rsidRPr="00281428">
        <w:rPr>
          <w:rFonts w:eastAsia="Times New Roman"/>
          <w:szCs w:val="24"/>
        </w:rPr>
        <w:t xml:space="preserve">No comments were heard during open hearings. The Committee believes the item should remain on the agenda as a developing item.  The Committee further believes that final language should be provided by the submitter for the 2020 Interim Meeting. </w:t>
      </w:r>
      <w:r w:rsidR="00E7062E">
        <w:rPr>
          <w:rFonts w:eastAsia="Times New Roman"/>
          <w:szCs w:val="24"/>
        </w:rPr>
        <w:t xml:space="preserve"> </w:t>
      </w:r>
      <w:r w:rsidRPr="00281428">
        <w:rPr>
          <w:rFonts w:eastAsia="Times New Roman"/>
          <w:szCs w:val="24"/>
        </w:rPr>
        <w:t xml:space="preserve">Since this item has remained on the agenda since 2016, if no additional information is supplied by the 2020 Interim Meeting, it should be </w:t>
      </w:r>
      <w:r w:rsidR="00545FAE" w:rsidRPr="00281428">
        <w:rPr>
          <w:rFonts w:eastAsia="Times New Roman"/>
          <w:szCs w:val="24"/>
        </w:rPr>
        <w:t>W</w:t>
      </w:r>
      <w:r w:rsidRPr="00281428">
        <w:rPr>
          <w:rFonts w:eastAsia="Times New Roman"/>
          <w:szCs w:val="24"/>
        </w:rPr>
        <w:t>ithdrawn.</w:t>
      </w:r>
    </w:p>
    <w:p w14:paraId="4BFFD49D" w14:textId="2579D081" w:rsidR="00E21F41" w:rsidRPr="00281428" w:rsidRDefault="00E21F41" w:rsidP="003B1A9B">
      <w:pPr>
        <w:rPr>
          <w:szCs w:val="20"/>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425DEE87" w14:textId="091633D9" w:rsidR="003B1A9B" w:rsidRPr="00281428" w:rsidRDefault="003B1A9B" w:rsidP="003B1A9B">
      <w:pPr>
        <w:rPr>
          <w:rFonts w:eastAsia="Times New Roman"/>
          <w:szCs w:val="24"/>
        </w:rPr>
      </w:pPr>
      <w:r w:rsidRPr="00281428">
        <w:rPr>
          <w:szCs w:val="20"/>
          <w:u w:val="single"/>
        </w:rPr>
        <w:t>CWMA 20</w:t>
      </w:r>
      <w:r w:rsidR="00D335B6" w:rsidRPr="00281428">
        <w:rPr>
          <w:szCs w:val="20"/>
          <w:u w:val="single"/>
        </w:rPr>
        <w:t>20</w:t>
      </w:r>
      <w:r w:rsidRPr="00281428">
        <w:rPr>
          <w:szCs w:val="20"/>
          <w:u w:val="single"/>
        </w:rPr>
        <w:t xml:space="preserve"> Interim Meeting:</w:t>
      </w:r>
      <w:r w:rsidRPr="00281428">
        <w:rPr>
          <w:szCs w:val="20"/>
        </w:rPr>
        <w:t xml:space="preserve">   </w:t>
      </w:r>
      <w:r w:rsidR="00D335B6" w:rsidRPr="00281428">
        <w:t>Mr. Ron Hayes (</w:t>
      </w:r>
      <w:r w:rsidR="007D2A51">
        <w:t>MO, submitter</w:t>
      </w:r>
      <w:r w:rsidR="00D335B6" w:rsidRPr="00281428">
        <w:t>) commented that he has updated language that identifies a few additional</w:t>
      </w:r>
      <w:r w:rsidR="00D335B6" w:rsidRPr="00281428">
        <w:rPr>
          <w:spacing w:val="-7"/>
        </w:rPr>
        <w:t xml:space="preserve"> </w:t>
      </w:r>
      <w:r w:rsidR="00D335B6" w:rsidRPr="00281428">
        <w:t>test</w:t>
      </w:r>
      <w:r w:rsidR="00D335B6" w:rsidRPr="00281428">
        <w:rPr>
          <w:spacing w:val="-7"/>
        </w:rPr>
        <w:t xml:space="preserve"> </w:t>
      </w:r>
      <w:r w:rsidR="00D335B6" w:rsidRPr="00281428">
        <w:t>fluids</w:t>
      </w:r>
      <w:r w:rsidR="00D335B6" w:rsidRPr="00281428">
        <w:rPr>
          <w:spacing w:val="-7"/>
        </w:rPr>
        <w:t xml:space="preserve"> </w:t>
      </w:r>
      <w:r w:rsidR="00D335B6" w:rsidRPr="00281428">
        <w:t>to</w:t>
      </w:r>
      <w:r w:rsidR="00D335B6" w:rsidRPr="00281428">
        <w:rPr>
          <w:spacing w:val="-7"/>
        </w:rPr>
        <w:t xml:space="preserve"> </w:t>
      </w:r>
      <w:r w:rsidR="00D335B6" w:rsidRPr="00281428">
        <w:t>obtain</w:t>
      </w:r>
      <w:r w:rsidR="00D335B6" w:rsidRPr="00281428">
        <w:rPr>
          <w:spacing w:val="-6"/>
        </w:rPr>
        <w:t xml:space="preserve"> </w:t>
      </w:r>
      <w:r w:rsidR="00D335B6" w:rsidRPr="00281428">
        <w:t>better</w:t>
      </w:r>
      <w:r w:rsidR="00D335B6" w:rsidRPr="00281428">
        <w:rPr>
          <w:spacing w:val="-6"/>
        </w:rPr>
        <w:t xml:space="preserve"> </w:t>
      </w:r>
      <w:r w:rsidR="00D335B6" w:rsidRPr="00281428">
        <w:t>precision</w:t>
      </w:r>
      <w:r w:rsidR="00D335B6" w:rsidRPr="00281428">
        <w:rPr>
          <w:spacing w:val="-7"/>
        </w:rPr>
        <w:t xml:space="preserve"> </w:t>
      </w:r>
      <w:r w:rsidR="00D335B6" w:rsidRPr="00281428">
        <w:t>(see</w:t>
      </w:r>
      <w:r w:rsidR="00D335B6" w:rsidRPr="00281428">
        <w:rPr>
          <w:spacing w:val="-5"/>
        </w:rPr>
        <w:t xml:space="preserve"> </w:t>
      </w:r>
      <w:r w:rsidR="00D335B6" w:rsidRPr="00281428">
        <w:t>attached</w:t>
      </w:r>
      <w:r w:rsidR="00D335B6" w:rsidRPr="00281428">
        <w:rPr>
          <w:spacing w:val="-8"/>
        </w:rPr>
        <w:t xml:space="preserve"> </w:t>
      </w:r>
      <w:r w:rsidR="00D335B6" w:rsidRPr="00281428">
        <w:t>document).</w:t>
      </w:r>
      <w:r w:rsidR="00D335B6" w:rsidRPr="00281428">
        <w:rPr>
          <w:spacing w:val="38"/>
        </w:rPr>
        <w:t xml:space="preserve"> </w:t>
      </w:r>
      <w:r w:rsidR="00D335B6" w:rsidRPr="00281428">
        <w:t>He</w:t>
      </w:r>
      <w:r w:rsidR="00D335B6" w:rsidRPr="00281428">
        <w:rPr>
          <w:spacing w:val="-7"/>
        </w:rPr>
        <w:t xml:space="preserve"> </w:t>
      </w:r>
      <w:r w:rsidR="00D335B6" w:rsidRPr="00281428">
        <w:t>is</w:t>
      </w:r>
      <w:r w:rsidR="00D335B6" w:rsidRPr="00281428">
        <w:rPr>
          <w:spacing w:val="-8"/>
        </w:rPr>
        <w:t xml:space="preserve"> </w:t>
      </w:r>
      <w:r w:rsidR="00D335B6" w:rsidRPr="00281428">
        <w:t>also</w:t>
      </w:r>
      <w:r w:rsidR="00D335B6" w:rsidRPr="00281428">
        <w:rPr>
          <w:spacing w:val="-6"/>
        </w:rPr>
        <w:t xml:space="preserve"> </w:t>
      </w:r>
      <w:r w:rsidR="00D335B6" w:rsidRPr="00281428">
        <w:t>incorporating</w:t>
      </w:r>
      <w:r w:rsidR="00D335B6" w:rsidRPr="00281428">
        <w:rPr>
          <w:spacing w:val="-5"/>
        </w:rPr>
        <w:t xml:space="preserve"> </w:t>
      </w:r>
      <w:r w:rsidR="00D335B6" w:rsidRPr="00281428">
        <w:t xml:space="preserve">recommendations from </w:t>
      </w:r>
      <w:r w:rsidR="0017488E" w:rsidRPr="00281428">
        <w:t xml:space="preserve">Mr. </w:t>
      </w:r>
      <w:r w:rsidR="00D335B6" w:rsidRPr="00281428">
        <w:t>David Sefcik (NIST</w:t>
      </w:r>
      <w:r w:rsidR="007D2A51">
        <w:t xml:space="preserve"> OWM</w:t>
      </w:r>
      <w:r w:rsidR="00D335B6" w:rsidRPr="00281428">
        <w:t xml:space="preserve">). </w:t>
      </w:r>
      <w:r w:rsidR="0017488E" w:rsidRPr="00281428">
        <w:t xml:space="preserve"> </w:t>
      </w:r>
      <w:r w:rsidR="007D2A51">
        <w:t>Mr. Sefcik</w:t>
      </w:r>
      <w:r w:rsidR="00D335B6" w:rsidRPr="00281428">
        <w:t xml:space="preserve"> still needs to convert the density meter table into a usable format for regulators. </w:t>
      </w:r>
      <w:r w:rsidR="0017488E" w:rsidRPr="00281428">
        <w:t xml:space="preserve"> </w:t>
      </w:r>
      <w:r w:rsidR="00D335B6" w:rsidRPr="00281428">
        <w:t>Currently he is waiting for an additional instrument to finish the method. Ms. Lisa Warfield (NIST</w:t>
      </w:r>
      <w:r w:rsidR="007D2A51">
        <w:t xml:space="preserve"> OWM</w:t>
      </w:r>
      <w:r w:rsidR="00D335B6" w:rsidRPr="00281428">
        <w:t xml:space="preserve">) commented that there are concerns with this test procedure, particularly the lack of a step-by-step procedure. </w:t>
      </w:r>
      <w:r w:rsidR="0017488E" w:rsidRPr="00281428">
        <w:t xml:space="preserve"> </w:t>
      </w:r>
      <w:r w:rsidR="007D2A51">
        <w:t>Ms. Warfield</w:t>
      </w:r>
      <w:r w:rsidR="00D335B6" w:rsidRPr="00281428">
        <w:t xml:space="preserve"> also commented that the method should be developed to use with different devices manufactures rather than just one. </w:t>
      </w:r>
      <w:r w:rsidR="007D2A51">
        <w:t>Ms. Warfield</w:t>
      </w:r>
      <w:r w:rsidR="00D335B6" w:rsidRPr="00281428">
        <w:t xml:space="preserve"> appreciates continued collaboration with Missouri. </w:t>
      </w:r>
      <w:r w:rsidR="008C4BD1" w:rsidRPr="00281428">
        <w:t xml:space="preserve"> </w:t>
      </w:r>
      <w:r w:rsidR="00D335B6" w:rsidRPr="00281428">
        <w:t>Mr. Charlie Stutesman (</w:t>
      </w:r>
      <w:r w:rsidR="007D2A51">
        <w:t>KS</w:t>
      </w:r>
      <w:r w:rsidR="00D335B6" w:rsidRPr="00281428">
        <w:t xml:space="preserve">) commented that he believes the item should be assigned to a task group to allow for more expedient development and inclusion of other devices. </w:t>
      </w:r>
      <w:r w:rsidR="008C4BD1" w:rsidRPr="00281428">
        <w:t xml:space="preserve"> </w:t>
      </w:r>
      <w:r w:rsidR="00D335B6" w:rsidRPr="00281428">
        <w:t>Mr. Hayes further commented that the method is not specific to a single device and is intended to be used for any manufacturer that meets the technical specifications.</w:t>
      </w:r>
      <w:r w:rsidR="00D335B6" w:rsidRPr="00281428">
        <w:rPr>
          <w:spacing w:val="9"/>
        </w:rPr>
        <w:t xml:space="preserve"> </w:t>
      </w:r>
      <w:r w:rsidR="008C4BD1" w:rsidRPr="00281428">
        <w:rPr>
          <w:spacing w:val="9"/>
        </w:rPr>
        <w:t xml:space="preserve"> </w:t>
      </w:r>
      <w:r w:rsidR="007D2A51">
        <w:t>Mr. Hayes</w:t>
      </w:r>
      <w:r w:rsidR="00D335B6" w:rsidRPr="00281428">
        <w:t xml:space="preserve"> is also taking photos to illustrate steps on how to complete the testing.</w:t>
      </w:r>
      <w:r w:rsidR="0017488E" w:rsidRPr="00281428">
        <w:t xml:space="preserve"> </w:t>
      </w:r>
      <w:r w:rsidR="00D335B6" w:rsidRPr="00281428">
        <w:t xml:space="preserve"> Ms. Warfield agrees a work group might help finalize this method. </w:t>
      </w:r>
      <w:r w:rsidR="008C4BD1" w:rsidRPr="00281428">
        <w:t xml:space="preserve"> </w:t>
      </w:r>
      <w:r w:rsidR="00D335B6" w:rsidRPr="00281428">
        <w:t>Mr. Don Onwiler (</w:t>
      </w:r>
      <w:r w:rsidR="0081217C">
        <w:t xml:space="preserve">NCWM </w:t>
      </w:r>
      <w:r w:rsidR="0081419D" w:rsidRPr="00281428">
        <w:t>Executive Director</w:t>
      </w:r>
      <w:r w:rsidR="00D335B6" w:rsidRPr="00281428">
        <w:t>) commented that a working group needs to be appointed by the NCWM Chair</w:t>
      </w:r>
      <w:r w:rsidR="006300A6">
        <w:t>man</w:t>
      </w:r>
      <w:r w:rsidR="00D335B6" w:rsidRPr="00281428">
        <w:t>.</w:t>
      </w:r>
      <w:r w:rsidR="008C4BD1" w:rsidRPr="00281428">
        <w:t xml:space="preserve"> </w:t>
      </w:r>
      <w:r w:rsidR="00D335B6" w:rsidRPr="00281428">
        <w:t xml:space="preserve"> Mr. Hayes, submitter,</w:t>
      </w:r>
      <w:r w:rsidR="00D335B6" w:rsidRPr="00281428">
        <w:rPr>
          <w:spacing w:val="-9"/>
        </w:rPr>
        <w:t xml:space="preserve"> </w:t>
      </w:r>
      <w:r w:rsidR="00D335B6" w:rsidRPr="00281428">
        <w:t>agrees</w:t>
      </w:r>
      <w:r w:rsidR="00D335B6" w:rsidRPr="00281428">
        <w:rPr>
          <w:spacing w:val="-10"/>
        </w:rPr>
        <w:t xml:space="preserve"> </w:t>
      </w:r>
      <w:r w:rsidR="00D335B6" w:rsidRPr="00281428">
        <w:t>the</w:t>
      </w:r>
      <w:r w:rsidR="00D335B6" w:rsidRPr="00281428">
        <w:rPr>
          <w:spacing w:val="-9"/>
        </w:rPr>
        <w:t xml:space="preserve"> </w:t>
      </w:r>
      <w:r w:rsidR="00D335B6" w:rsidRPr="00281428">
        <w:t>item</w:t>
      </w:r>
      <w:r w:rsidR="00D335B6" w:rsidRPr="00281428">
        <w:rPr>
          <w:spacing w:val="-11"/>
        </w:rPr>
        <w:t xml:space="preserve"> </w:t>
      </w:r>
      <w:r w:rsidR="00D335B6" w:rsidRPr="00281428">
        <w:t>should</w:t>
      </w:r>
      <w:r w:rsidR="00D335B6" w:rsidRPr="00281428">
        <w:rPr>
          <w:spacing w:val="-8"/>
        </w:rPr>
        <w:t xml:space="preserve"> </w:t>
      </w:r>
      <w:r w:rsidR="00D335B6" w:rsidRPr="00281428">
        <w:t>be</w:t>
      </w:r>
      <w:r w:rsidR="00D335B6" w:rsidRPr="00281428">
        <w:rPr>
          <w:spacing w:val="-10"/>
        </w:rPr>
        <w:t xml:space="preserve"> </w:t>
      </w:r>
      <w:r w:rsidR="00D335B6" w:rsidRPr="00281428">
        <w:t>moved</w:t>
      </w:r>
      <w:r w:rsidR="00D335B6" w:rsidRPr="00281428">
        <w:rPr>
          <w:spacing w:val="-8"/>
        </w:rPr>
        <w:t xml:space="preserve"> </w:t>
      </w:r>
      <w:r w:rsidR="00D335B6" w:rsidRPr="00281428">
        <w:t>to</w:t>
      </w:r>
      <w:r w:rsidR="00D335B6" w:rsidRPr="00281428">
        <w:rPr>
          <w:spacing w:val="-8"/>
        </w:rPr>
        <w:t xml:space="preserve"> </w:t>
      </w:r>
      <w:r w:rsidR="00D335B6" w:rsidRPr="00281428">
        <w:t>Assigned</w:t>
      </w:r>
      <w:r w:rsidR="00D335B6" w:rsidRPr="00281428">
        <w:rPr>
          <w:spacing w:val="-8"/>
        </w:rPr>
        <w:t xml:space="preserve"> </w:t>
      </w:r>
      <w:r w:rsidR="00D335B6" w:rsidRPr="00281428">
        <w:t>status.</w:t>
      </w:r>
      <w:r w:rsidR="00D335B6" w:rsidRPr="00281428">
        <w:rPr>
          <w:spacing w:val="37"/>
        </w:rPr>
        <w:t xml:space="preserve"> </w:t>
      </w:r>
      <w:r w:rsidR="008C4BD1" w:rsidRPr="00281428">
        <w:rPr>
          <w:spacing w:val="37"/>
        </w:rPr>
        <w:t xml:space="preserve"> </w:t>
      </w:r>
      <w:r w:rsidR="00D335B6" w:rsidRPr="00281428">
        <w:t>The</w:t>
      </w:r>
      <w:r w:rsidR="00D335B6" w:rsidRPr="00281428">
        <w:rPr>
          <w:spacing w:val="-9"/>
        </w:rPr>
        <w:t xml:space="preserve"> </w:t>
      </w:r>
      <w:r w:rsidR="00D335B6" w:rsidRPr="00281428">
        <w:t>Committee</w:t>
      </w:r>
      <w:r w:rsidR="00D335B6" w:rsidRPr="00281428">
        <w:rPr>
          <w:spacing w:val="-9"/>
        </w:rPr>
        <w:t xml:space="preserve"> </w:t>
      </w:r>
      <w:r w:rsidR="00D335B6" w:rsidRPr="00281428">
        <w:t>recommends</w:t>
      </w:r>
      <w:r w:rsidR="00D335B6" w:rsidRPr="00281428">
        <w:rPr>
          <w:spacing w:val="-10"/>
        </w:rPr>
        <w:t xml:space="preserve"> </w:t>
      </w:r>
      <w:r w:rsidR="00D335B6" w:rsidRPr="00281428">
        <w:t>that</w:t>
      </w:r>
      <w:r w:rsidR="00D335B6" w:rsidRPr="00281428">
        <w:rPr>
          <w:spacing w:val="-8"/>
        </w:rPr>
        <w:t xml:space="preserve"> </w:t>
      </w:r>
      <w:r w:rsidR="00D335B6" w:rsidRPr="00281428">
        <w:t>the</w:t>
      </w:r>
      <w:r w:rsidR="00D335B6" w:rsidRPr="00281428">
        <w:rPr>
          <w:spacing w:val="-9"/>
        </w:rPr>
        <w:t xml:space="preserve"> </w:t>
      </w:r>
      <w:r w:rsidR="00D335B6" w:rsidRPr="00281428">
        <w:t>NCWM</w:t>
      </w:r>
      <w:r w:rsidR="00D335B6" w:rsidRPr="00281428">
        <w:rPr>
          <w:spacing w:val="-9"/>
        </w:rPr>
        <w:t xml:space="preserve"> </w:t>
      </w:r>
      <w:r w:rsidR="00D335B6" w:rsidRPr="00281428">
        <w:t xml:space="preserve">L&amp;R Committee consider the creation of a new task group and include a </w:t>
      </w:r>
      <w:r w:rsidR="008C4BD1" w:rsidRPr="00281428">
        <w:t>NIST T</w:t>
      </w:r>
      <w:r w:rsidR="00D335B6" w:rsidRPr="00281428">
        <w:t xml:space="preserve">echnical </w:t>
      </w:r>
      <w:r w:rsidR="008C4BD1" w:rsidRPr="00281428">
        <w:t>A</w:t>
      </w:r>
      <w:r w:rsidR="00D335B6" w:rsidRPr="00281428">
        <w:t>dvisor from NIST, as well as leave the item as</w:t>
      </w:r>
      <w:r w:rsidR="00D335B6" w:rsidRPr="00281428">
        <w:rPr>
          <w:spacing w:val="-1"/>
        </w:rPr>
        <w:t xml:space="preserve"> </w:t>
      </w:r>
      <w:r w:rsidR="00D335B6" w:rsidRPr="00281428">
        <w:t>Assigned</w:t>
      </w:r>
      <w:r w:rsidRPr="00281428">
        <w:rPr>
          <w:rFonts w:eastAsia="Times New Roman"/>
          <w:szCs w:val="24"/>
        </w:rPr>
        <w:t>.</w:t>
      </w:r>
    </w:p>
    <w:p w14:paraId="556D345E" w14:textId="173A6C5D" w:rsidR="00C039A0" w:rsidRPr="00281428" w:rsidRDefault="003B1A9B" w:rsidP="006D0636">
      <w:pPr>
        <w:rPr>
          <w:szCs w:val="20"/>
        </w:rPr>
      </w:pPr>
      <w:r w:rsidRPr="00281428">
        <w:rPr>
          <w:szCs w:val="20"/>
        </w:rPr>
        <w:t xml:space="preserve">Additional letters, presentation and data may have been submitted for consideration with this item.  Please refer to </w:t>
      </w:r>
      <w:hyperlink r:id="rId39" w:history="1">
        <w:r w:rsidR="00211511" w:rsidRPr="00A766AF">
          <w:rPr>
            <w:rStyle w:val="Hyperlink"/>
            <w:noProof w:val="0"/>
            <w:color w:val="0000FF"/>
          </w:rPr>
          <w:t>https://www.ncwm.com/publication-16</w:t>
        </w:r>
      </w:hyperlink>
      <w:r w:rsidRPr="00281428">
        <w:rPr>
          <w:szCs w:val="20"/>
        </w:rPr>
        <w:t xml:space="preserve"> to review these documents</w:t>
      </w:r>
      <w:r w:rsidR="00C039A0" w:rsidRPr="00281428">
        <w:rPr>
          <w:szCs w:val="20"/>
        </w:rPr>
        <w:t>.</w:t>
      </w:r>
    </w:p>
    <w:p w14:paraId="67028CBE" w14:textId="5957333F" w:rsidR="00152216" w:rsidRPr="00281428" w:rsidRDefault="00152216" w:rsidP="006D2229">
      <w:pPr>
        <w:pStyle w:val="ItemHeading"/>
        <w:keepNext w:val="0"/>
        <w:keepLines w:val="0"/>
      </w:pPr>
      <w:bookmarkStart w:id="304" w:name="_Toc65741459"/>
      <w:bookmarkStart w:id="305" w:name="_Hlk17111570"/>
      <w:bookmarkStart w:id="306" w:name="_Hlk46819813"/>
      <w:r w:rsidRPr="00281428">
        <w:t>NET-20.2</w:t>
      </w:r>
      <w:r w:rsidRPr="00281428">
        <w:tab/>
      </w:r>
      <w:r w:rsidR="000540E4" w:rsidRPr="00281428">
        <w:t>D</w:t>
      </w:r>
      <w:r w:rsidRPr="00281428">
        <w:tab/>
      </w:r>
      <w:r w:rsidR="00285272" w:rsidRPr="00281428">
        <w:t xml:space="preserve">Section </w:t>
      </w:r>
      <w:r w:rsidR="00C668E1" w:rsidRPr="00281428">
        <w:t>4.5. Polyethylene Sheeting, Bags and Liners</w:t>
      </w:r>
      <w:r w:rsidRPr="00281428">
        <w:t>.</w:t>
      </w:r>
      <w:bookmarkEnd w:id="304"/>
    </w:p>
    <w:p w14:paraId="67DE3574" w14:textId="77777777" w:rsidR="00152216" w:rsidRPr="00281428" w:rsidRDefault="00152216" w:rsidP="006D2229">
      <w:pPr>
        <w:spacing w:after="0"/>
        <w:rPr>
          <w:b/>
        </w:rPr>
      </w:pPr>
      <w:r w:rsidRPr="00281428">
        <w:rPr>
          <w:b/>
        </w:rPr>
        <w:t xml:space="preserve">Source:  </w:t>
      </w:r>
    </w:p>
    <w:p w14:paraId="52B59A93" w14:textId="23953E01" w:rsidR="00152216" w:rsidRPr="00281428" w:rsidRDefault="00C668E1" w:rsidP="006D2229">
      <w:r w:rsidRPr="00281428">
        <w:t xml:space="preserve">New York State Weights and </w:t>
      </w:r>
      <w:bookmarkEnd w:id="305"/>
      <w:r w:rsidRPr="00281428">
        <w:t>Measures</w:t>
      </w:r>
      <w:r w:rsidR="00152216" w:rsidRPr="00281428">
        <w:t xml:space="preserve"> </w:t>
      </w:r>
    </w:p>
    <w:p w14:paraId="1BF7E7C6" w14:textId="77777777" w:rsidR="00152216" w:rsidRPr="00281428" w:rsidRDefault="00152216" w:rsidP="006D2229">
      <w:pPr>
        <w:spacing w:after="0"/>
        <w:rPr>
          <w:b/>
        </w:rPr>
      </w:pPr>
      <w:r w:rsidRPr="00281428">
        <w:rPr>
          <w:b/>
        </w:rPr>
        <w:t xml:space="preserve">Purpose:  </w:t>
      </w:r>
    </w:p>
    <w:p w14:paraId="10835FC3" w14:textId="49B6326B" w:rsidR="00152216" w:rsidRPr="00281428" w:rsidRDefault="00C668E1" w:rsidP="006D2229">
      <w:pPr>
        <w:rPr>
          <w:sz w:val="19"/>
          <w:szCs w:val="19"/>
        </w:rPr>
      </w:pPr>
      <w:r w:rsidRPr="00281428">
        <w:rPr>
          <w:sz w:val="19"/>
          <w:szCs w:val="19"/>
        </w:rPr>
        <w:t xml:space="preserve">Remove antiquated terminology used for test equipment to test the thickness of polyethylene sheeting, </w:t>
      </w:r>
      <w:r w:rsidR="006300A6" w:rsidRPr="00281428">
        <w:rPr>
          <w:sz w:val="19"/>
          <w:szCs w:val="19"/>
        </w:rPr>
        <w:t>bags,</w:t>
      </w:r>
      <w:r w:rsidRPr="00281428">
        <w:rPr>
          <w:sz w:val="19"/>
          <w:szCs w:val="19"/>
        </w:rPr>
        <w:t xml:space="preserve"> and liners.   </w:t>
      </w:r>
    </w:p>
    <w:p w14:paraId="1AFD8499" w14:textId="77777777" w:rsidR="00152216" w:rsidRPr="00281428" w:rsidRDefault="00152216" w:rsidP="006D2229">
      <w:pPr>
        <w:spacing w:after="0"/>
        <w:rPr>
          <w:b/>
        </w:rPr>
      </w:pPr>
      <w:r w:rsidRPr="00281428">
        <w:rPr>
          <w:b/>
        </w:rPr>
        <w:t xml:space="preserve">Item Under Consideration:  </w:t>
      </w:r>
    </w:p>
    <w:p w14:paraId="0579CBEF" w14:textId="327B5C0D" w:rsidR="00152216" w:rsidRPr="00281428" w:rsidRDefault="00152216" w:rsidP="006D0636">
      <w:r w:rsidRPr="00281428">
        <w:t>Amend Handbook 133 as follows:</w:t>
      </w:r>
    </w:p>
    <w:p w14:paraId="50541F44" w14:textId="77777777" w:rsidR="0017488E" w:rsidRPr="00281428" w:rsidRDefault="0017488E" w:rsidP="0017488E">
      <w:pPr>
        <w:rPr>
          <w:rFonts w:eastAsia="Times New Roman"/>
          <w:b/>
          <w:bCs/>
          <w:color w:val="000000"/>
          <w:szCs w:val="20"/>
        </w:rPr>
      </w:pPr>
      <w:bookmarkStart w:id="307" w:name="_Toc487505012"/>
      <w:bookmarkStart w:id="308" w:name="_Toc486756488"/>
      <w:bookmarkStart w:id="309" w:name="_Toc487505010"/>
      <w:bookmarkStart w:id="310" w:name="_Toc237353978"/>
      <w:bookmarkStart w:id="311" w:name="_Toc237415762"/>
      <w:bookmarkStart w:id="312" w:name="_Toc237416736"/>
      <w:bookmarkStart w:id="313" w:name="_Toc237429113"/>
      <w:bookmarkStart w:id="314" w:name="_Toc291667337"/>
      <w:bookmarkStart w:id="315" w:name="_Toc464111624"/>
      <w:bookmarkStart w:id="316" w:name="_Toc464123903"/>
      <w:bookmarkStart w:id="317" w:name="_Toc24613776"/>
      <w:bookmarkStart w:id="318" w:name="_Toc528827000"/>
      <w:bookmarkStart w:id="319" w:name="_Hlk16584929"/>
      <w:bookmarkEnd w:id="307"/>
      <w:r w:rsidRPr="00281428">
        <w:rPr>
          <w:rFonts w:eastAsia="Times New Roman"/>
          <w:b/>
          <w:bCs/>
          <w:color w:val="000000"/>
          <w:szCs w:val="20"/>
        </w:rPr>
        <w:t>4.5.   Polyethylene Sheeting</w:t>
      </w:r>
      <w:bookmarkEnd w:id="308"/>
      <w:bookmarkEnd w:id="309"/>
      <w:bookmarkEnd w:id="310"/>
      <w:bookmarkEnd w:id="311"/>
      <w:bookmarkEnd w:id="312"/>
      <w:bookmarkEnd w:id="313"/>
      <w:bookmarkEnd w:id="314"/>
      <w:bookmarkEnd w:id="315"/>
      <w:bookmarkEnd w:id="316"/>
      <w:r w:rsidRPr="00281428">
        <w:rPr>
          <w:rFonts w:eastAsia="Times New Roman"/>
          <w:b/>
          <w:bCs/>
          <w:color w:val="000000"/>
          <w:szCs w:val="20"/>
        </w:rPr>
        <w:t>, Bags, and Liners</w:t>
      </w:r>
      <w:bookmarkEnd w:id="317"/>
      <w:r w:rsidRPr="00281428">
        <w:rPr>
          <w:rFonts w:eastAsia="Times New Roman"/>
          <w:b/>
          <w:bCs/>
          <w:color w:val="000000"/>
          <w:szCs w:val="20"/>
        </w:rPr>
        <w:t xml:space="preserve"> </w:t>
      </w:r>
    </w:p>
    <w:p w14:paraId="46405137" w14:textId="77777777" w:rsidR="0017488E" w:rsidRPr="00281428" w:rsidRDefault="0017488E" w:rsidP="0017488E">
      <w:pPr>
        <w:spacing w:after="0"/>
        <w:rPr>
          <w:rFonts w:eastAsia="Times New Roman"/>
          <w:color w:val="000000"/>
          <w:szCs w:val="20"/>
        </w:rPr>
      </w:pPr>
      <w:r w:rsidRPr="00281428">
        <w:rPr>
          <w:rFonts w:eastAsia="Times New Roman"/>
          <w:color w:val="000000"/>
          <w:szCs w:val="20"/>
        </w:rPr>
        <w:t>Most polyethylene products are sold by length, width, thickness, area, and net weight. Accordingly, this procedure includes steps to test for each of these measurements.</w:t>
      </w:r>
    </w:p>
    <w:p w14:paraId="2C7878D5" w14:textId="77777777" w:rsidR="0017488E" w:rsidRPr="00281428" w:rsidRDefault="0017488E" w:rsidP="0017488E">
      <w:pPr>
        <w:spacing w:before="60"/>
        <w:rPr>
          <w:rFonts w:eastAsia="Times New Roman"/>
          <w:color w:val="000000"/>
          <w:szCs w:val="20"/>
        </w:rPr>
      </w:pPr>
      <w:r w:rsidRPr="00281428">
        <w:rPr>
          <w:rFonts w:eastAsia="Times New Roman"/>
          <w:color w:val="000000"/>
          <w:szCs w:val="20"/>
        </w:rPr>
        <w:t>(Amended 2017)</w:t>
      </w:r>
    </w:p>
    <w:p w14:paraId="24C052A8" w14:textId="77777777" w:rsidR="0017488E" w:rsidRPr="00281428" w:rsidRDefault="0017488E" w:rsidP="00805E7F">
      <w:pPr>
        <w:keepNext/>
        <w:keepLines/>
        <w:tabs>
          <w:tab w:val="left" w:pos="1800"/>
          <w:tab w:val="left" w:pos="5220"/>
        </w:tabs>
        <w:ind w:left="360"/>
        <w:outlineLvl w:val="2"/>
        <w:rPr>
          <w:rFonts w:eastAsia="Times New Roman"/>
          <w:b/>
          <w:color w:val="000000"/>
          <w:szCs w:val="20"/>
        </w:rPr>
      </w:pPr>
      <w:bookmarkStart w:id="320" w:name="_Toc24613777"/>
      <w:r w:rsidRPr="00281428">
        <w:rPr>
          <w:rFonts w:eastAsia="Times New Roman"/>
          <w:b/>
          <w:color w:val="000000"/>
          <w:szCs w:val="20"/>
        </w:rPr>
        <w:lastRenderedPageBreak/>
        <w:t>4.5.1.  Test Equipment</w:t>
      </w:r>
      <w:bookmarkEnd w:id="320"/>
    </w:p>
    <w:p w14:paraId="012FB141" w14:textId="77777777" w:rsidR="0017488E" w:rsidRPr="00281428" w:rsidRDefault="0017488E" w:rsidP="00805E7F">
      <w:pPr>
        <w:keepNext/>
        <w:keepLines/>
        <w:numPr>
          <w:ilvl w:val="0"/>
          <w:numId w:val="29"/>
        </w:numPr>
        <w:ind w:left="1080"/>
        <w:rPr>
          <w:rFonts w:eastAsia="Times New Roman"/>
          <w:color w:val="000000"/>
          <w:szCs w:val="20"/>
        </w:rPr>
      </w:pPr>
      <w:r w:rsidRPr="00281428">
        <w:rPr>
          <w:rFonts w:eastAsia="Times New Roman"/>
          <w:color w:val="000000"/>
          <w:szCs w:val="20"/>
        </w:rPr>
        <w:t>A scale that meets the requirements in Section 2.2. “Measurement Standards and Test Equipment.”</w:t>
      </w:r>
    </w:p>
    <w:p w14:paraId="1DAFC343" w14:textId="77777777" w:rsidR="0017488E" w:rsidRPr="00281428" w:rsidRDefault="0017488E" w:rsidP="00805E7F">
      <w:pPr>
        <w:keepNext/>
        <w:keepLines/>
        <w:numPr>
          <w:ilvl w:val="0"/>
          <w:numId w:val="29"/>
        </w:numPr>
        <w:ind w:left="1080"/>
        <w:rPr>
          <w:rFonts w:eastAsia="Times New Roman"/>
          <w:color w:val="000000"/>
          <w:szCs w:val="20"/>
        </w:rPr>
      </w:pPr>
      <w:r w:rsidRPr="00281428">
        <w:rPr>
          <w:rFonts w:eastAsia="Times New Roman"/>
          <w:color w:val="000000"/>
          <w:szCs w:val="20"/>
        </w:rPr>
        <w:t>Steel tapes and rulers.  Determine measurements of length to the nearest division of the appropriate tape or ruler.</w:t>
      </w:r>
    </w:p>
    <w:p w14:paraId="7AE2A11A" w14:textId="77777777" w:rsidR="0017488E" w:rsidRPr="00281428" w:rsidRDefault="0017488E" w:rsidP="006D2229">
      <w:pPr>
        <w:numPr>
          <w:ilvl w:val="0"/>
          <w:numId w:val="28"/>
        </w:numPr>
        <w:ind w:left="1440"/>
        <w:rPr>
          <w:rFonts w:eastAsia="Times New Roman"/>
          <w:color w:val="000000"/>
          <w:szCs w:val="20"/>
        </w:rPr>
      </w:pPr>
      <w:r w:rsidRPr="00281428">
        <w:rPr>
          <w:rFonts w:eastAsia="Times New Roman"/>
          <w:color w:val="000000"/>
          <w:szCs w:val="20"/>
        </w:rPr>
        <w:t>Metric units:</w:t>
      </w:r>
    </w:p>
    <w:p w14:paraId="634B5DE3" w14:textId="77777777" w:rsidR="0017488E" w:rsidRPr="00281428" w:rsidRDefault="0017488E" w:rsidP="006D2229">
      <w:pPr>
        <w:ind w:left="1440"/>
        <w:rPr>
          <w:rFonts w:eastAsia="Times New Roman"/>
          <w:color w:val="000000"/>
          <w:szCs w:val="20"/>
        </w:rPr>
      </w:pPr>
      <w:r w:rsidRPr="00281428">
        <w:rPr>
          <w:rFonts w:eastAsia="Times New Roman"/>
          <w:color w:val="000000"/>
          <w:szCs w:val="20"/>
        </w:rPr>
        <w:t>For labeled dimensions 400 mm or less, linear measure:  300 mm in length, 1 mm divisions; or a 1 m ruler with 0.1 mm divisions, overall length tolerance of 0.4 mm.</w:t>
      </w:r>
    </w:p>
    <w:p w14:paraId="5D5DC43A" w14:textId="77777777" w:rsidR="0017488E" w:rsidRPr="00281428" w:rsidRDefault="0017488E" w:rsidP="00206D60">
      <w:pPr>
        <w:ind w:left="1440"/>
        <w:rPr>
          <w:rFonts w:eastAsia="Times New Roman"/>
          <w:color w:val="000000"/>
          <w:szCs w:val="20"/>
        </w:rPr>
      </w:pPr>
      <w:r w:rsidRPr="00281428">
        <w:rPr>
          <w:rFonts w:eastAsia="Times New Roman"/>
          <w:color w:val="000000"/>
          <w:szCs w:val="20"/>
        </w:rPr>
        <w:t>For labeled dimensions greater than 400 mm, 30 m tape with 1 mm divisions.</w:t>
      </w:r>
    </w:p>
    <w:p w14:paraId="713DBB16" w14:textId="77777777" w:rsidR="0017488E" w:rsidRPr="00281428" w:rsidRDefault="0017488E" w:rsidP="006D2229">
      <w:pPr>
        <w:numPr>
          <w:ilvl w:val="0"/>
          <w:numId w:val="28"/>
        </w:numPr>
        <w:ind w:left="1440"/>
        <w:rPr>
          <w:rFonts w:eastAsia="Times New Roman"/>
          <w:color w:val="000000"/>
          <w:szCs w:val="20"/>
        </w:rPr>
      </w:pPr>
      <w:r w:rsidRPr="00281428">
        <w:rPr>
          <w:rFonts w:eastAsia="Times New Roman"/>
          <w:color w:val="000000"/>
          <w:szCs w:val="20"/>
        </w:rPr>
        <w:t>U.S. customary units:</w:t>
      </w:r>
    </w:p>
    <w:p w14:paraId="683F28E9" w14:textId="77777777" w:rsidR="0017488E" w:rsidRPr="00281428" w:rsidRDefault="0017488E" w:rsidP="006D2229">
      <w:pPr>
        <w:autoSpaceDE w:val="0"/>
        <w:ind w:left="1440"/>
        <w:rPr>
          <w:rFonts w:eastAsia="Times New Roman"/>
          <w:color w:val="000000"/>
          <w:szCs w:val="20"/>
        </w:rPr>
      </w:pPr>
      <w:r w:rsidRPr="00281428">
        <w:rPr>
          <w:rFonts w:eastAsia="Times New Roman"/>
          <w:color w:val="000000"/>
          <w:szCs w:val="20"/>
        </w:rPr>
        <w:t xml:space="preserve">For labeled dimensions 25 in or less, use a 36 in ruler with </w:t>
      </w:r>
      <w:r w:rsidRPr="00281428">
        <w:rPr>
          <w:rFonts w:eastAsia="Times New Roman"/>
          <w:color w:val="000000"/>
          <w:spacing w:val="-12"/>
          <w:szCs w:val="20"/>
          <w:vertAlign w:val="superscript"/>
        </w:rPr>
        <w:t>1</w:t>
      </w:r>
      <w:r w:rsidRPr="00281428">
        <w:rPr>
          <w:rFonts w:eastAsia="Times New Roman"/>
          <w:color w:val="000000"/>
          <w:spacing w:val="-12"/>
          <w:szCs w:val="20"/>
        </w:rPr>
        <w:t>/</w:t>
      </w:r>
      <w:r w:rsidRPr="00281428">
        <w:rPr>
          <w:rFonts w:eastAsia="Times New Roman"/>
          <w:color w:val="000000"/>
          <w:spacing w:val="-12"/>
          <w:szCs w:val="20"/>
          <w:vertAlign w:val="subscript"/>
        </w:rPr>
        <w:t>64</w:t>
      </w:r>
      <w:r w:rsidRPr="00281428">
        <w:rPr>
          <w:rFonts w:eastAsia="Times New Roman"/>
          <w:color w:val="000000"/>
          <w:szCs w:val="20"/>
        </w:rPr>
        <w:t xml:space="preserve"> in or </w:t>
      </w:r>
      <w:r w:rsidRPr="00281428">
        <w:rPr>
          <w:rFonts w:eastAsia="Times New Roman"/>
          <w:color w:val="000000"/>
          <w:spacing w:val="-12"/>
          <w:szCs w:val="20"/>
          <w:vertAlign w:val="superscript"/>
        </w:rPr>
        <w:t>1</w:t>
      </w:r>
      <w:r w:rsidRPr="00281428">
        <w:rPr>
          <w:rFonts w:eastAsia="Times New Roman"/>
          <w:color w:val="000000"/>
          <w:spacing w:val="-12"/>
          <w:szCs w:val="20"/>
        </w:rPr>
        <w:t>/</w:t>
      </w:r>
      <w:r w:rsidRPr="00281428">
        <w:rPr>
          <w:rFonts w:eastAsia="Times New Roman"/>
          <w:color w:val="000000"/>
          <w:spacing w:val="-12"/>
          <w:szCs w:val="20"/>
          <w:vertAlign w:val="subscript"/>
        </w:rPr>
        <w:t>100</w:t>
      </w:r>
      <w:r w:rsidRPr="00281428">
        <w:rPr>
          <w:rFonts w:eastAsia="Times New Roman"/>
          <w:color w:val="000000"/>
          <w:szCs w:val="20"/>
        </w:rPr>
        <w:t xml:space="preserve"> in divisions and an overall length tolerance of </w:t>
      </w:r>
      <w:r w:rsidRPr="00281428">
        <w:rPr>
          <w:rFonts w:eastAsia="Times New Roman"/>
          <w:color w:val="000000"/>
          <w:position w:val="-2"/>
          <w:szCs w:val="20"/>
          <w:vertAlign w:val="superscript"/>
        </w:rPr>
        <w:t>1</w:t>
      </w:r>
      <w:r w:rsidRPr="00281428">
        <w:rPr>
          <w:rFonts w:eastAsia="Times New Roman"/>
          <w:color w:val="000000"/>
          <w:spacing w:val="-12"/>
          <w:szCs w:val="20"/>
        </w:rPr>
        <w:t>/</w:t>
      </w:r>
      <w:r w:rsidRPr="00281428">
        <w:rPr>
          <w:rFonts w:eastAsia="Times New Roman"/>
          <w:color w:val="000000"/>
          <w:position w:val="2"/>
          <w:szCs w:val="20"/>
          <w:vertAlign w:val="subscript"/>
        </w:rPr>
        <w:t>64</w:t>
      </w:r>
      <w:r w:rsidRPr="00281428">
        <w:rPr>
          <w:rFonts w:eastAsia="Times New Roman"/>
          <w:color w:val="000000"/>
          <w:szCs w:val="20"/>
        </w:rPr>
        <w:t> in.</w:t>
      </w:r>
    </w:p>
    <w:p w14:paraId="5A115E77" w14:textId="77777777" w:rsidR="0017488E" w:rsidRPr="00281428" w:rsidRDefault="0017488E" w:rsidP="00206D60">
      <w:pPr>
        <w:autoSpaceDE w:val="0"/>
        <w:ind w:left="1440"/>
        <w:rPr>
          <w:rFonts w:eastAsia="Times New Roman"/>
          <w:color w:val="000000"/>
          <w:szCs w:val="20"/>
        </w:rPr>
      </w:pPr>
      <w:r w:rsidRPr="00281428">
        <w:rPr>
          <w:rFonts w:eastAsia="Times New Roman"/>
          <w:color w:val="000000"/>
          <w:szCs w:val="20"/>
        </w:rPr>
        <w:t xml:space="preserve">For dimensions greater than 25 in, use a 100 ft tape with </w:t>
      </w:r>
      <w:r w:rsidRPr="00281428">
        <w:rPr>
          <w:rFonts w:eastAsia="Times New Roman"/>
          <w:color w:val="000000"/>
          <w:spacing w:val="-12"/>
          <w:szCs w:val="20"/>
          <w:vertAlign w:val="superscript"/>
        </w:rPr>
        <w:t>1</w:t>
      </w:r>
      <w:r w:rsidRPr="00281428">
        <w:rPr>
          <w:rFonts w:eastAsia="Times New Roman"/>
          <w:color w:val="000000"/>
          <w:spacing w:val="-12"/>
          <w:szCs w:val="20"/>
        </w:rPr>
        <w:t>/</w:t>
      </w:r>
      <w:r w:rsidRPr="00281428">
        <w:rPr>
          <w:rFonts w:eastAsia="Times New Roman"/>
          <w:color w:val="000000"/>
          <w:spacing w:val="-12"/>
          <w:szCs w:val="20"/>
          <w:vertAlign w:val="subscript"/>
        </w:rPr>
        <w:t>16</w:t>
      </w:r>
      <w:r w:rsidRPr="00281428">
        <w:rPr>
          <w:rFonts w:eastAsia="Times New Roman"/>
          <w:color w:val="000000"/>
          <w:szCs w:val="20"/>
        </w:rPr>
        <w:t> in divisions and an overall length tolerance of 0.1 in.</w:t>
      </w:r>
    </w:p>
    <w:bookmarkEnd w:id="318"/>
    <w:p w14:paraId="7D065A72" w14:textId="4182B974" w:rsidR="00C668E1" w:rsidRPr="00281428" w:rsidRDefault="00C668E1" w:rsidP="00DA1FCD">
      <w:pPr>
        <w:numPr>
          <w:ilvl w:val="0"/>
          <w:numId w:val="29"/>
        </w:numPr>
        <w:autoSpaceDE w:val="0"/>
        <w:ind w:left="1080"/>
        <w:rPr>
          <w:b/>
          <w:color w:val="000000"/>
          <w:szCs w:val="20"/>
          <w:u w:val="single"/>
        </w:rPr>
      </w:pPr>
      <w:r w:rsidRPr="00281428">
        <w:rPr>
          <w:color w:val="000000"/>
          <w:szCs w:val="20"/>
        </w:rPr>
        <w:t xml:space="preserve">Deadweight dial micrometer (or equal) equipped with a flat anvil, 6.35 mm or (¼ in) diameter or larger, and </w:t>
      </w:r>
      <w:r w:rsidRPr="00281428">
        <w:rPr>
          <w:b/>
          <w:strike/>
          <w:color w:val="000000"/>
          <w:szCs w:val="20"/>
        </w:rPr>
        <w:t>a 4.75 mm (</w:t>
      </w:r>
      <w:r w:rsidRPr="00281428">
        <w:rPr>
          <w:b/>
          <w:strike/>
          <w:color w:val="000000"/>
          <w:position w:val="-2"/>
          <w:szCs w:val="20"/>
          <w:vertAlign w:val="superscript"/>
        </w:rPr>
        <w:t>3</w:t>
      </w:r>
      <w:r w:rsidRPr="00281428">
        <w:rPr>
          <w:b/>
          <w:strike/>
          <w:color w:val="000000"/>
          <w:spacing w:val="-12"/>
          <w:szCs w:val="20"/>
        </w:rPr>
        <w:t>/</w:t>
      </w:r>
      <w:r w:rsidRPr="00281428">
        <w:rPr>
          <w:b/>
          <w:strike/>
          <w:color w:val="000000"/>
          <w:position w:val="2"/>
          <w:szCs w:val="20"/>
          <w:vertAlign w:val="subscript"/>
        </w:rPr>
        <w:t>16</w:t>
      </w:r>
      <w:r w:rsidRPr="00281428">
        <w:rPr>
          <w:b/>
          <w:strike/>
          <w:color w:val="000000"/>
          <w:szCs w:val="20"/>
        </w:rPr>
        <w:t> in) diameter</w:t>
      </w:r>
      <w:r w:rsidRPr="00281428">
        <w:rPr>
          <w:color w:val="000000"/>
          <w:szCs w:val="20"/>
        </w:rPr>
        <w:t xml:space="preserve"> flat </w:t>
      </w:r>
      <w:r w:rsidRPr="00281428">
        <w:rPr>
          <w:b/>
          <w:strike/>
          <w:color w:val="000000"/>
          <w:szCs w:val="20"/>
        </w:rPr>
        <w:t>surface on the head of the</w:t>
      </w:r>
      <w:r w:rsidRPr="00281428">
        <w:rPr>
          <w:color w:val="000000"/>
          <w:szCs w:val="20"/>
        </w:rPr>
        <w:t xml:space="preserve"> spindle</w:t>
      </w:r>
      <w:r w:rsidRPr="00281428">
        <w:rPr>
          <w:b/>
          <w:color w:val="000000"/>
          <w:szCs w:val="20"/>
          <w:u w:val="single"/>
        </w:rPr>
        <w:t xml:space="preserve"> head with a diameter between 3.20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8</w:t>
      </w:r>
      <w:r w:rsidRPr="00281428">
        <w:rPr>
          <w:b/>
          <w:color w:val="000000"/>
          <w:szCs w:val="20"/>
          <w:u w:val="single"/>
        </w:rPr>
        <w:t xml:space="preserve"> in) and 12.70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2</w:t>
      </w:r>
      <w:r w:rsidRPr="00281428">
        <w:rPr>
          <w:b/>
          <w:color w:val="000000"/>
          <w:szCs w:val="20"/>
          <w:u w:val="single"/>
        </w:rPr>
        <w:t xml:space="preserve"> in)</w:t>
      </w:r>
      <w:r w:rsidRPr="00281428">
        <w:rPr>
          <w:color w:val="000000"/>
          <w:szCs w:val="20"/>
        </w:rPr>
        <w:t xml:space="preserve">.  </w:t>
      </w:r>
    </w:p>
    <w:p w14:paraId="77C8BD93" w14:textId="6AE1606E" w:rsidR="00C668E1" w:rsidRPr="00281428" w:rsidRDefault="00C668E1" w:rsidP="00C668E1">
      <w:pPr>
        <w:autoSpaceDE w:val="0"/>
        <w:ind w:left="1080"/>
        <w:rPr>
          <w:b/>
          <w:color w:val="000000"/>
          <w:szCs w:val="20"/>
          <w:u w:val="single"/>
        </w:rPr>
      </w:pPr>
      <w:r w:rsidRPr="00281428">
        <w:rPr>
          <w:b/>
          <w:color w:val="000000"/>
          <w:szCs w:val="20"/>
          <w:u w:val="single"/>
        </w:rPr>
        <w:t>Note:  Electronic or other instruments that provide equivalent accuracy are also permitted.</w:t>
      </w:r>
    </w:p>
    <w:p w14:paraId="6B1D9B79" w14:textId="77777777" w:rsidR="00C668E1" w:rsidRPr="00281428" w:rsidRDefault="00C668E1" w:rsidP="00DA1FCD">
      <w:pPr>
        <w:numPr>
          <w:ilvl w:val="0"/>
          <w:numId w:val="32"/>
        </w:numPr>
        <w:autoSpaceDE w:val="0"/>
        <w:rPr>
          <w:b/>
          <w:strike/>
          <w:color w:val="000000"/>
          <w:szCs w:val="20"/>
        </w:rPr>
      </w:pPr>
      <w:r w:rsidRPr="00281428">
        <w:rPr>
          <w:b/>
          <w:strike/>
          <w:color w:val="000000"/>
          <w:szCs w:val="20"/>
        </w:rPr>
        <w:t xml:space="preserve">The mass of the probe head (total of anvil, weight 102 g or [3.6 oz], spindle, etc.) must total 113.4 g (4 oz).  </w:t>
      </w:r>
      <w:r w:rsidRPr="00281428">
        <w:rPr>
          <w:b/>
          <w:color w:val="000000"/>
          <w:szCs w:val="20"/>
          <w:u w:val="single"/>
        </w:rPr>
        <w:t>The pressure exerted by the instrument should not exceed 70 kPa (10 psi).</w:t>
      </w:r>
    </w:p>
    <w:p w14:paraId="69E26086" w14:textId="77777777" w:rsidR="00C668E1" w:rsidRPr="00281428" w:rsidRDefault="00C668E1" w:rsidP="00DA1FCD">
      <w:pPr>
        <w:numPr>
          <w:ilvl w:val="0"/>
          <w:numId w:val="32"/>
        </w:numPr>
        <w:autoSpaceDE w:val="0"/>
        <w:rPr>
          <w:color w:val="000000"/>
          <w:szCs w:val="20"/>
        </w:rPr>
      </w:pPr>
      <w:r w:rsidRPr="00281428">
        <w:rPr>
          <w:color w:val="000000"/>
          <w:szCs w:val="20"/>
        </w:rPr>
        <w:t xml:space="preserve">The anvil and spindle head surfaces should be ground and lapped, parallel to within 0.002 mm (0.0001 in), and should move on an axis perpendicular to their surfaces. </w:t>
      </w:r>
    </w:p>
    <w:p w14:paraId="2C9DE05A" w14:textId="77777777" w:rsidR="00C668E1" w:rsidRPr="00281428" w:rsidRDefault="00C668E1" w:rsidP="00DA1FCD">
      <w:pPr>
        <w:numPr>
          <w:ilvl w:val="0"/>
          <w:numId w:val="32"/>
        </w:numPr>
        <w:autoSpaceDE w:val="0"/>
        <w:rPr>
          <w:color w:val="000000"/>
          <w:szCs w:val="20"/>
        </w:rPr>
      </w:pPr>
      <w:r w:rsidRPr="00281428">
        <w:rPr>
          <w:color w:val="000000"/>
          <w:szCs w:val="20"/>
        </w:rPr>
        <w:t xml:space="preserve">The dial spindle should be vertical, and the dial should be at least 50.8 mm (2 in) in diameter.  </w:t>
      </w:r>
    </w:p>
    <w:p w14:paraId="3FB4B736" w14:textId="77777777" w:rsidR="00C668E1" w:rsidRPr="00281428" w:rsidRDefault="00C668E1" w:rsidP="00DA1FCD">
      <w:pPr>
        <w:numPr>
          <w:ilvl w:val="0"/>
          <w:numId w:val="32"/>
        </w:numPr>
        <w:autoSpaceDE w:val="0"/>
        <w:rPr>
          <w:color w:val="000000"/>
          <w:szCs w:val="20"/>
        </w:rPr>
      </w:pPr>
      <w:r w:rsidRPr="00281428">
        <w:rPr>
          <w:color w:val="000000"/>
          <w:szCs w:val="20"/>
        </w:rPr>
        <w:t xml:space="preserve">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w:t>
      </w:r>
    </w:p>
    <w:p w14:paraId="12E55648" w14:textId="77777777" w:rsidR="00C668E1" w:rsidRPr="00281428" w:rsidRDefault="00C668E1" w:rsidP="00DA1FCD">
      <w:pPr>
        <w:numPr>
          <w:ilvl w:val="0"/>
          <w:numId w:val="32"/>
        </w:numPr>
        <w:autoSpaceDE w:val="0"/>
        <w:rPr>
          <w:color w:val="000000"/>
          <w:szCs w:val="20"/>
        </w:rPr>
      </w:pPr>
      <w:r w:rsidRPr="00281428">
        <w:rPr>
          <w:color w:val="000000"/>
          <w:szCs w:val="20"/>
        </w:rPr>
        <w:t xml:space="preserve">The frame should be of sufficient rigidity that a load of 1.36 kg (3 lb) applied to the dial housing, exclusive of the weight or spindle presser foot, will not cause a change in indication on the dial of more than 0.02 mm (0.001 in).  </w:t>
      </w:r>
    </w:p>
    <w:p w14:paraId="032BBC76" w14:textId="77777777" w:rsidR="00C668E1" w:rsidRPr="00281428" w:rsidRDefault="00C668E1" w:rsidP="00DA1FCD">
      <w:pPr>
        <w:numPr>
          <w:ilvl w:val="0"/>
          <w:numId w:val="32"/>
        </w:numPr>
        <w:autoSpaceDE w:val="0"/>
        <w:rPr>
          <w:color w:val="000000"/>
          <w:szCs w:val="20"/>
        </w:rPr>
      </w:pPr>
      <w:r w:rsidRPr="00281428">
        <w:rPr>
          <w:color w:val="000000"/>
          <w:szCs w:val="20"/>
        </w:rPr>
        <w:t xml:space="preserve">The indicator reading must be repeatable to 0.001 2 mm (0.000 05 in) at zero.  </w:t>
      </w:r>
    </w:p>
    <w:p w14:paraId="3FE9A61A" w14:textId="77777777" w:rsidR="00C668E1" w:rsidRPr="00281428" w:rsidRDefault="00C668E1" w:rsidP="00DA1FCD">
      <w:pPr>
        <w:numPr>
          <w:ilvl w:val="0"/>
          <w:numId w:val="32"/>
        </w:numPr>
        <w:autoSpaceDE w:val="0"/>
        <w:rPr>
          <w:color w:val="000000"/>
          <w:szCs w:val="20"/>
        </w:rPr>
      </w:pPr>
      <w:r w:rsidRPr="00281428">
        <w:rPr>
          <w:color w:val="000000"/>
          <w:szCs w:val="20"/>
        </w:rPr>
        <w:t>The micrometer should be operated in an atmosphere free from drafts and fluctuating temperature and should be stabilized at ambient room temperature before use.</w:t>
      </w:r>
    </w:p>
    <w:p w14:paraId="019605DF" w14:textId="6D0021C9" w:rsidR="00C668E1" w:rsidRPr="00281428" w:rsidRDefault="00C668E1" w:rsidP="00C668E1">
      <w:pPr>
        <w:autoSpaceDE w:val="0"/>
        <w:ind w:left="1440"/>
        <w:rPr>
          <w:b/>
          <w:color w:val="000000"/>
          <w:szCs w:val="20"/>
          <w:u w:val="single"/>
        </w:rPr>
      </w:pPr>
      <w:r w:rsidRPr="00281428">
        <w:rPr>
          <w:b/>
          <w:color w:val="000000"/>
          <w:szCs w:val="20"/>
          <w:u w:val="single"/>
        </w:rPr>
        <w:t xml:space="preserve">Note:  Other instruments are commercially available that utilize different methods of </w:t>
      </w:r>
      <w:r w:rsidR="0017488E" w:rsidRPr="00281428">
        <w:rPr>
          <w:b/>
          <w:color w:val="000000"/>
          <w:szCs w:val="20"/>
          <w:u w:val="single"/>
        </w:rPr>
        <w:t xml:space="preserve">measuring </w:t>
      </w:r>
      <w:r w:rsidRPr="00281428">
        <w:rPr>
          <w:b/>
          <w:color w:val="000000"/>
          <w:szCs w:val="20"/>
          <w:u w:val="single"/>
        </w:rPr>
        <w:t>thickness.  Instruments of this nature are acceptable provided they meet or exceed the precision requirements noted within the latest version of ASTM D6988 “Guide for Determination of Thickness of Plastic Film Test Specimens” and the requirements of the applicable material or product specification or applicable test standards.</w:t>
      </w:r>
    </w:p>
    <w:bookmarkEnd w:id="319"/>
    <w:p w14:paraId="0D4E6733" w14:textId="77777777" w:rsidR="00C668E1" w:rsidRPr="00281428" w:rsidRDefault="00C668E1" w:rsidP="006D2229">
      <w:pPr>
        <w:numPr>
          <w:ilvl w:val="0"/>
          <w:numId w:val="31"/>
        </w:numPr>
        <w:ind w:left="1080"/>
        <w:rPr>
          <w:szCs w:val="20"/>
        </w:rPr>
      </w:pPr>
      <w:r w:rsidRPr="00281428">
        <w:rPr>
          <w:color w:val="000000"/>
          <w:szCs w:val="20"/>
        </w:rPr>
        <w:lastRenderedPageBreak/>
        <w:t>Gage blocks covering the range of thicknesses to be tested should be used to check the accuracy of the micrometer</w:t>
      </w:r>
    </w:p>
    <w:p w14:paraId="49B8FB50" w14:textId="049AE489" w:rsidR="00C668E1" w:rsidRPr="00281428" w:rsidRDefault="00C668E1" w:rsidP="006D2229">
      <w:pPr>
        <w:numPr>
          <w:ilvl w:val="0"/>
          <w:numId w:val="31"/>
        </w:numPr>
        <w:ind w:left="1080"/>
        <w:rPr>
          <w:szCs w:val="20"/>
        </w:rPr>
      </w:pPr>
      <w:r w:rsidRPr="00281428">
        <w:rPr>
          <w:color w:val="000000"/>
          <w:szCs w:val="20"/>
        </w:rPr>
        <w:t>T-square</w:t>
      </w:r>
    </w:p>
    <w:p w14:paraId="26813635" w14:textId="162834E4" w:rsidR="00C96A77" w:rsidRPr="00281428" w:rsidRDefault="00C96A77" w:rsidP="00C96A77">
      <w:pPr>
        <w:autoSpaceDE w:val="0"/>
        <w:autoSpaceDN w:val="0"/>
        <w:adjustRightInd w:val="0"/>
        <w:spacing w:after="0"/>
        <w:rPr>
          <w:b/>
          <w:bCs/>
          <w:szCs w:val="20"/>
        </w:rPr>
      </w:pPr>
      <w:r w:rsidRPr="00281428">
        <w:rPr>
          <w:b/>
          <w:bCs/>
          <w:szCs w:val="20"/>
        </w:rPr>
        <w:t xml:space="preserve">Background/Discussion: </w:t>
      </w:r>
    </w:p>
    <w:p w14:paraId="04DC9166" w14:textId="77777777" w:rsidR="00CF437E" w:rsidRPr="00281428" w:rsidRDefault="00CF437E" w:rsidP="00CF437E">
      <w:r w:rsidRPr="00281428">
        <w:t>This item has been assigned to the submitter for further development.  For more information or to provide comment, please contact:</w:t>
      </w:r>
    </w:p>
    <w:p w14:paraId="4BEFB7B0" w14:textId="7C983EA8" w:rsidR="002B51C9" w:rsidRPr="00281428" w:rsidRDefault="00CF437E" w:rsidP="002B51C9">
      <w:pPr>
        <w:autoSpaceDE w:val="0"/>
        <w:autoSpaceDN w:val="0"/>
        <w:adjustRightInd w:val="0"/>
        <w:spacing w:after="0"/>
        <w:ind w:left="720"/>
        <w:jc w:val="left"/>
      </w:pPr>
      <w:r w:rsidRPr="00281428">
        <w:t xml:space="preserve">Mr. </w:t>
      </w:r>
      <w:r w:rsidR="001C428A" w:rsidRPr="00281428">
        <w:t>Mike</w:t>
      </w:r>
      <w:r w:rsidR="002B51C9" w:rsidRPr="00281428">
        <w:t xml:space="preserve"> Sikula</w:t>
      </w:r>
    </w:p>
    <w:p w14:paraId="09291555" w14:textId="50BE34F9" w:rsidR="002B51C9" w:rsidRPr="00281428" w:rsidRDefault="002B51C9" w:rsidP="002B51C9">
      <w:pPr>
        <w:autoSpaceDE w:val="0"/>
        <w:autoSpaceDN w:val="0"/>
        <w:adjustRightInd w:val="0"/>
        <w:spacing w:after="0"/>
        <w:ind w:left="720"/>
        <w:jc w:val="left"/>
      </w:pPr>
      <w:r w:rsidRPr="00281428">
        <w:t>New York Department of Agriculture and Markets</w:t>
      </w:r>
    </w:p>
    <w:p w14:paraId="1F81BA70" w14:textId="10EC783F" w:rsidR="00CF437E" w:rsidRPr="00C7744F" w:rsidRDefault="002B51C9" w:rsidP="00526E5B">
      <w:pPr>
        <w:pStyle w:val="NoSpacing"/>
        <w:spacing w:after="240"/>
        <w:ind w:left="720"/>
        <w:rPr>
          <w:rFonts w:ascii="Times New Roman" w:hAnsi="Times New Roman"/>
          <w:color w:val="0000FF"/>
          <w:sz w:val="20"/>
          <w:szCs w:val="20"/>
        </w:rPr>
      </w:pPr>
      <w:r w:rsidRPr="00C7744F">
        <w:rPr>
          <w:rFonts w:ascii="Times New Roman" w:hAnsi="Times New Roman"/>
          <w:sz w:val="20"/>
          <w:szCs w:val="20"/>
        </w:rPr>
        <w:t>518-457-3452</w:t>
      </w:r>
      <w:r w:rsidR="00E03F22" w:rsidRPr="00C7744F">
        <w:rPr>
          <w:rFonts w:ascii="Times New Roman" w:hAnsi="Times New Roman"/>
          <w:sz w:val="20"/>
          <w:szCs w:val="20"/>
        </w:rPr>
        <w:t>,</w:t>
      </w:r>
      <w:r w:rsidRPr="00C7744F">
        <w:rPr>
          <w:rFonts w:ascii="Times New Roman" w:hAnsi="Times New Roman"/>
          <w:sz w:val="20"/>
          <w:szCs w:val="20"/>
        </w:rPr>
        <w:t xml:space="preserve"> </w:t>
      </w:r>
      <w:hyperlink r:id="rId40" w:history="1">
        <w:r w:rsidRPr="00C7744F">
          <w:rPr>
            <w:rFonts w:ascii="Times New Roman" w:hAnsi="Times New Roman"/>
            <w:color w:val="0000FF"/>
            <w:sz w:val="20"/>
            <w:szCs w:val="20"/>
            <w:u w:val="single"/>
          </w:rPr>
          <w:t>mike.sikula@agriculture.ny.gov</w:t>
        </w:r>
      </w:hyperlink>
    </w:p>
    <w:p w14:paraId="460953AA" w14:textId="77777777" w:rsidR="00C96A77" w:rsidRPr="00281428" w:rsidRDefault="00C96A77" w:rsidP="00C96A77">
      <w:pPr>
        <w:rPr>
          <w:szCs w:val="20"/>
        </w:rPr>
      </w:pPr>
      <w:bookmarkStart w:id="321" w:name="_Hlk17111600"/>
      <w:r w:rsidRPr="00281428">
        <w:rPr>
          <w:szCs w:val="20"/>
        </w:rPr>
        <w:t>This will update the test equipment to allow for the use of other type of instruments to perform the test procedure.    In addition, it aligns the test equipment within the latest version of ASTM D6988 “Guide for Determination of Thickness of Plastic Film Test Specimens”</w:t>
      </w:r>
      <w:bookmarkEnd w:id="321"/>
      <w:r w:rsidRPr="00281428">
        <w:rPr>
          <w:szCs w:val="20"/>
        </w:rPr>
        <w:t xml:space="preserve">. </w:t>
      </w:r>
    </w:p>
    <w:p w14:paraId="6EDB7460" w14:textId="6F7D0707" w:rsidR="00C96A77" w:rsidRPr="00526E5B" w:rsidRDefault="00C96A77" w:rsidP="00C96A77">
      <w:pPr>
        <w:rPr>
          <w:bCs/>
          <w:szCs w:val="20"/>
        </w:rPr>
      </w:pPr>
      <w:r w:rsidRPr="00E21F41">
        <w:rPr>
          <w:szCs w:val="20"/>
          <w:u w:val="single"/>
        </w:rPr>
        <w:t xml:space="preserve">NCWM </w:t>
      </w:r>
      <w:r w:rsidR="0081217C">
        <w:rPr>
          <w:szCs w:val="20"/>
          <w:u w:val="single"/>
        </w:rPr>
        <w:t xml:space="preserve">2021 </w:t>
      </w:r>
      <w:r w:rsidRPr="00E21F41">
        <w:rPr>
          <w:szCs w:val="20"/>
          <w:u w:val="single"/>
        </w:rPr>
        <w:t>Interim Meeting</w:t>
      </w:r>
      <w:r w:rsidR="00E21F41" w:rsidRPr="00E21F41">
        <w:rPr>
          <w:szCs w:val="20"/>
          <w:u w:val="single"/>
        </w:rPr>
        <w:t>:</w:t>
      </w:r>
      <w:r w:rsidR="00E21F41">
        <w:rPr>
          <w:szCs w:val="20"/>
        </w:rPr>
        <w:t xml:space="preserve"> </w:t>
      </w:r>
      <w:r w:rsidRPr="00526E5B">
        <w:rPr>
          <w:szCs w:val="20"/>
        </w:rPr>
        <w:t xml:space="preserve"> Mr. Kurt Floren </w:t>
      </w:r>
      <w:r w:rsidRPr="00526E5B">
        <w:rPr>
          <w:bCs/>
          <w:szCs w:val="20"/>
        </w:rPr>
        <w:t>(L</w:t>
      </w:r>
      <w:r w:rsidR="00031160" w:rsidRPr="00526E5B">
        <w:rPr>
          <w:bCs/>
          <w:szCs w:val="20"/>
        </w:rPr>
        <w:t>os Angeles</w:t>
      </w:r>
      <w:r w:rsidRPr="00526E5B">
        <w:rPr>
          <w:bCs/>
          <w:szCs w:val="20"/>
        </w:rPr>
        <w:t xml:space="preserve"> Co</w:t>
      </w:r>
      <w:r w:rsidR="006300A6">
        <w:rPr>
          <w:bCs/>
          <w:szCs w:val="20"/>
        </w:rPr>
        <w:t>.</w:t>
      </w:r>
      <w:r w:rsidRPr="00526E5B">
        <w:rPr>
          <w:bCs/>
          <w:szCs w:val="20"/>
        </w:rPr>
        <w:t xml:space="preserve">, </w:t>
      </w:r>
      <w:r w:rsidR="006300A6">
        <w:rPr>
          <w:bCs/>
          <w:szCs w:val="20"/>
        </w:rPr>
        <w:t>CA</w:t>
      </w:r>
      <w:r w:rsidRPr="00526E5B">
        <w:rPr>
          <w:szCs w:val="20"/>
        </w:rPr>
        <w:t>) had concern with the spindle head having a diameter of 3.20 mm and 12.70 mm, due to the type of product being tested as this may create inconsistencies</w:t>
      </w:r>
      <w:r w:rsidR="006D0636" w:rsidRPr="00526E5B">
        <w:rPr>
          <w:szCs w:val="20"/>
        </w:rPr>
        <w:t xml:space="preserve"> </w:t>
      </w:r>
      <w:r w:rsidRPr="00526E5B">
        <w:rPr>
          <w:szCs w:val="20"/>
        </w:rPr>
        <w:t xml:space="preserve">within the thickness.  Mr. Floren would like to see data that justified this range.  In addition, there are many other instruments that are available in the marketplace to do testing.  Therefore, Mr. Floren has concerns with this item proceeding as currently written.  </w:t>
      </w:r>
      <w:bookmarkStart w:id="322" w:name="_Hlk33527626"/>
      <w:r w:rsidR="006D0636" w:rsidRPr="00526E5B">
        <w:rPr>
          <w:szCs w:val="20"/>
        </w:rPr>
        <w:t xml:space="preserve">What is the current industry practice </w:t>
      </w:r>
      <w:r w:rsidR="002A0DCB" w:rsidRPr="00526E5B">
        <w:rPr>
          <w:szCs w:val="20"/>
        </w:rPr>
        <w:t xml:space="preserve">with this type of procedure?   </w:t>
      </w:r>
      <w:r w:rsidRPr="00526E5B">
        <w:rPr>
          <w:szCs w:val="20"/>
        </w:rPr>
        <w:t>The Committee would like the submitter to review the recommendations that came out of the fall regional meetings</w:t>
      </w:r>
      <w:r w:rsidR="0081419D" w:rsidRPr="00526E5B">
        <w:rPr>
          <w:szCs w:val="20"/>
        </w:rPr>
        <w:t xml:space="preserve">. </w:t>
      </w:r>
      <w:r w:rsidRPr="00526E5B">
        <w:rPr>
          <w:szCs w:val="20"/>
        </w:rPr>
        <w:t xml:space="preserve"> The submitter should also address any procedural differences between the current procedure and use of an electronic instrument.</w:t>
      </w:r>
      <w:r w:rsidR="0081419D" w:rsidRPr="00526E5B">
        <w:rPr>
          <w:szCs w:val="20"/>
        </w:rPr>
        <w:t xml:space="preserve"> </w:t>
      </w:r>
      <w:r w:rsidR="00206D60" w:rsidRPr="00526E5B">
        <w:rPr>
          <w:szCs w:val="20"/>
        </w:rPr>
        <w:t xml:space="preserve"> </w:t>
      </w:r>
      <w:r w:rsidRPr="00526E5B">
        <w:rPr>
          <w:bCs/>
          <w:szCs w:val="20"/>
        </w:rPr>
        <w:t xml:space="preserve">The Committee recommends this item as a Developing item. </w:t>
      </w:r>
      <w:r w:rsidR="002A0DCB" w:rsidRPr="00526E5B">
        <w:rPr>
          <w:bCs/>
          <w:szCs w:val="20"/>
        </w:rPr>
        <w:t xml:space="preserve"> Mr. Kevin Schnepp </w:t>
      </w:r>
      <w:r w:rsidR="00031160" w:rsidRPr="00526E5B">
        <w:rPr>
          <w:bCs/>
          <w:szCs w:val="20"/>
        </w:rPr>
        <w:t>(</w:t>
      </w:r>
      <w:r w:rsidR="00535E85">
        <w:rPr>
          <w:bCs/>
          <w:szCs w:val="20"/>
        </w:rPr>
        <w:t>CA</w:t>
      </w:r>
      <w:r w:rsidR="00031160" w:rsidRPr="00526E5B">
        <w:rPr>
          <w:bCs/>
          <w:szCs w:val="20"/>
        </w:rPr>
        <w:t xml:space="preserve">) </w:t>
      </w:r>
      <w:r w:rsidR="002A0DCB" w:rsidRPr="00526E5B">
        <w:rPr>
          <w:bCs/>
          <w:szCs w:val="20"/>
        </w:rPr>
        <w:t xml:space="preserve">noted that ASTM D6988 has a maximum pressure of </w:t>
      </w:r>
      <w:r w:rsidR="002A0DCB" w:rsidRPr="00526E5B">
        <w:rPr>
          <w:szCs w:val="20"/>
          <w:shd w:val="clear" w:color="auto" w:fill="FFFFFF"/>
        </w:rPr>
        <w:t>70 kPa (10 psi) for thinner films and for thicker films, a pressure range between 160 and 185 kPa (23 and 27 psi)</w:t>
      </w:r>
      <w:r w:rsidR="00031160" w:rsidRPr="00526E5B">
        <w:rPr>
          <w:szCs w:val="20"/>
          <w:shd w:val="clear" w:color="auto" w:fill="FFFFFF"/>
        </w:rPr>
        <w:t>.   Mr. Floren also expressed concerns with the variability in plastics and the striations occur in plastics.</w:t>
      </w:r>
      <w:r w:rsidR="00281761" w:rsidRPr="00526E5B">
        <w:rPr>
          <w:szCs w:val="20"/>
          <w:shd w:val="clear" w:color="auto" w:fill="FFFFFF"/>
        </w:rPr>
        <w:t xml:space="preserve">  The Committees did not have any supporting data or repeatability test and asked that the developer review all the comments within this item by fall </w:t>
      </w:r>
      <w:r w:rsidR="00F87AF9" w:rsidRPr="00526E5B">
        <w:rPr>
          <w:szCs w:val="20"/>
          <w:shd w:val="clear" w:color="auto" w:fill="FFFFFF"/>
        </w:rPr>
        <w:t>R</w:t>
      </w:r>
      <w:r w:rsidR="00281761" w:rsidRPr="00526E5B">
        <w:rPr>
          <w:szCs w:val="20"/>
          <w:shd w:val="clear" w:color="auto" w:fill="FFFFFF"/>
        </w:rPr>
        <w:t xml:space="preserve">egional </w:t>
      </w:r>
      <w:r w:rsidR="00F87AF9" w:rsidRPr="00526E5B">
        <w:rPr>
          <w:szCs w:val="20"/>
          <w:shd w:val="clear" w:color="auto" w:fill="FFFFFF"/>
        </w:rPr>
        <w:t>A</w:t>
      </w:r>
      <w:r w:rsidR="00281761" w:rsidRPr="00526E5B">
        <w:rPr>
          <w:szCs w:val="20"/>
          <w:shd w:val="clear" w:color="auto" w:fill="FFFFFF"/>
        </w:rPr>
        <w:t xml:space="preserve">ssociation </w:t>
      </w:r>
      <w:r w:rsidR="00F87AF9" w:rsidRPr="00526E5B">
        <w:rPr>
          <w:szCs w:val="20"/>
          <w:shd w:val="clear" w:color="auto" w:fill="FFFFFF"/>
        </w:rPr>
        <w:t>M</w:t>
      </w:r>
      <w:r w:rsidR="00281761" w:rsidRPr="00526E5B">
        <w:rPr>
          <w:szCs w:val="20"/>
          <w:shd w:val="clear" w:color="auto" w:fill="FFFFFF"/>
        </w:rPr>
        <w:t xml:space="preserve">eetings. </w:t>
      </w:r>
    </w:p>
    <w:bookmarkEnd w:id="322"/>
    <w:p w14:paraId="748F8D2D" w14:textId="77777777" w:rsidR="00A00E0F" w:rsidRPr="00281428" w:rsidRDefault="00A00E0F" w:rsidP="00A00E0F">
      <w:pPr>
        <w:keepNext/>
        <w:keepLines/>
        <w:spacing w:after="120"/>
        <w:rPr>
          <w:szCs w:val="20"/>
        </w:rPr>
      </w:pPr>
      <w:r w:rsidRPr="00281428">
        <w:rPr>
          <w:b/>
          <w:szCs w:val="20"/>
        </w:rPr>
        <w:t>Regional Association Comments:</w:t>
      </w:r>
    </w:p>
    <w:p w14:paraId="1DFD6F28" w14:textId="68C8C7FE" w:rsidR="00C96A77" w:rsidRPr="00281428" w:rsidRDefault="00C96A77" w:rsidP="00281761">
      <w:pPr>
        <w:rPr>
          <w:rFonts w:eastAsia="Times New Roman"/>
          <w:szCs w:val="24"/>
        </w:rPr>
      </w:pPr>
      <w:r w:rsidRPr="00281428">
        <w:rPr>
          <w:szCs w:val="20"/>
          <w:u w:val="single"/>
        </w:rPr>
        <w:t>WWMA 2019 Annual Meeting:</w:t>
      </w:r>
      <w:r w:rsidRPr="00281428">
        <w:rPr>
          <w:szCs w:val="20"/>
        </w:rPr>
        <w:t xml:space="preserve">  </w:t>
      </w:r>
      <w:r w:rsidRPr="00281428">
        <w:rPr>
          <w:rFonts w:eastAsia="Times New Roman"/>
          <w:szCs w:val="24"/>
        </w:rPr>
        <w:t xml:space="preserve">Mr. Kurt Floren </w:t>
      </w:r>
      <w:r w:rsidRPr="00281428">
        <w:rPr>
          <w:bCs/>
          <w:szCs w:val="20"/>
        </w:rPr>
        <w:t>(L</w:t>
      </w:r>
      <w:r w:rsidR="008C4BD1" w:rsidRPr="00281428">
        <w:rPr>
          <w:bCs/>
          <w:szCs w:val="20"/>
        </w:rPr>
        <w:t>os Angeles,</w:t>
      </w:r>
      <w:r w:rsidRPr="00281428">
        <w:rPr>
          <w:bCs/>
          <w:szCs w:val="20"/>
        </w:rPr>
        <w:t xml:space="preserve"> Co</w:t>
      </w:r>
      <w:r w:rsidR="00E8071A">
        <w:rPr>
          <w:bCs/>
          <w:szCs w:val="20"/>
        </w:rPr>
        <w:t>.</w:t>
      </w:r>
      <w:r w:rsidRPr="00281428">
        <w:rPr>
          <w:bCs/>
          <w:szCs w:val="20"/>
        </w:rPr>
        <w:t xml:space="preserve">, </w:t>
      </w:r>
      <w:r w:rsidR="00E8071A">
        <w:rPr>
          <w:bCs/>
          <w:szCs w:val="20"/>
        </w:rPr>
        <w:t>CA</w:t>
      </w:r>
      <w:r w:rsidRPr="00281428">
        <w:rPr>
          <w:bCs/>
          <w:szCs w:val="20"/>
        </w:rPr>
        <w:t>)</w:t>
      </w:r>
      <w:r w:rsidRPr="00281428">
        <w:rPr>
          <w:b/>
          <w:szCs w:val="20"/>
        </w:rPr>
        <w:t xml:space="preserve"> </w:t>
      </w:r>
      <w:r w:rsidRPr="00281428">
        <w:rPr>
          <w:rFonts w:eastAsia="Times New Roman"/>
          <w:szCs w:val="24"/>
        </w:rPr>
        <w:t xml:space="preserve">provided modifications to the language to the Committee.  The Committee addressed his concerns by modifying the language as it appears below.   The WWMA cautions that the ASTM D6988 “Standard Guide for Determination of Thickness of Plastic Film Test Specimens” needs to be researched further to make sure it is applicable.  It appears that ASTM D6988 is a Guide and not a specification standard.  There is a note within the standard that appears to prohibit the use for this application.  The Committee is requiring data from the submitter that changes to the micrometer specifications are justified.  Further development of the entire test procedure (not just test equipment) will need to occur for its applicability for the electronic instrument.  The Committee recommends this be a Developmental item requiring confirmation of the applicability of the ASTM standard. </w:t>
      </w:r>
    </w:p>
    <w:p w14:paraId="1E9E07B5" w14:textId="77777777" w:rsidR="00C96A77" w:rsidRPr="00281428" w:rsidRDefault="00C96A77" w:rsidP="006D2229">
      <w:pPr>
        <w:spacing w:before="240"/>
        <w:outlineLvl w:val="1"/>
        <w:rPr>
          <w:b/>
          <w:bCs/>
          <w:color w:val="000000"/>
          <w:szCs w:val="20"/>
          <w:lang w:val="x-none" w:eastAsia="x-none"/>
        </w:rPr>
      </w:pPr>
      <w:bookmarkStart w:id="323" w:name="_Hlk19101629"/>
      <w:r w:rsidRPr="00281428">
        <w:rPr>
          <w:b/>
          <w:bCs/>
          <w:color w:val="000000"/>
          <w:szCs w:val="20"/>
          <w:lang w:eastAsia="x-none"/>
        </w:rPr>
        <w:t xml:space="preserve">4.5.  </w:t>
      </w:r>
      <w:r w:rsidRPr="00281428">
        <w:rPr>
          <w:b/>
          <w:bCs/>
          <w:color w:val="000000"/>
          <w:szCs w:val="20"/>
          <w:lang w:val="x-none" w:eastAsia="x-none"/>
        </w:rPr>
        <w:t>Pol</w:t>
      </w:r>
      <w:r w:rsidRPr="00281428">
        <w:rPr>
          <w:b/>
          <w:bCs/>
          <w:color w:val="000000"/>
          <w:szCs w:val="20"/>
          <w:lang w:eastAsia="x-none"/>
        </w:rPr>
        <w:t>y</w:t>
      </w:r>
      <w:r w:rsidRPr="00281428">
        <w:rPr>
          <w:b/>
          <w:bCs/>
          <w:color w:val="000000"/>
          <w:szCs w:val="20"/>
          <w:lang w:val="x-none" w:eastAsia="x-none"/>
        </w:rPr>
        <w:t xml:space="preserve">ethylene Sheeting, Bags, and Liners </w:t>
      </w:r>
    </w:p>
    <w:p w14:paraId="2F9A6ABE" w14:textId="77777777" w:rsidR="00C96A77" w:rsidRPr="00281428" w:rsidRDefault="00C96A77" w:rsidP="00281761">
      <w:pPr>
        <w:spacing w:after="60"/>
        <w:rPr>
          <w:color w:val="000000"/>
          <w:szCs w:val="20"/>
        </w:rPr>
      </w:pPr>
      <w:r w:rsidRPr="00281428">
        <w:rPr>
          <w:color w:val="000000"/>
          <w:szCs w:val="20"/>
        </w:rPr>
        <w:t>Most polyethylene products are sold by length, width, thickness, area, and net weight. Accordingly, this procedure includes steps to test for each of these measurements.</w:t>
      </w:r>
    </w:p>
    <w:p w14:paraId="51FDD982" w14:textId="77777777" w:rsidR="00C96A77" w:rsidRPr="00281428" w:rsidRDefault="00C96A77" w:rsidP="00281761">
      <w:pPr>
        <w:spacing w:before="60"/>
        <w:rPr>
          <w:color w:val="000000"/>
          <w:szCs w:val="20"/>
        </w:rPr>
      </w:pPr>
      <w:r w:rsidRPr="00281428">
        <w:rPr>
          <w:color w:val="000000"/>
          <w:szCs w:val="20"/>
        </w:rPr>
        <w:t>(Amended 2017)</w:t>
      </w:r>
    </w:p>
    <w:p w14:paraId="128E2BF1" w14:textId="77777777" w:rsidR="00C96A77" w:rsidRPr="00281428" w:rsidRDefault="00C96A77" w:rsidP="00281761">
      <w:pPr>
        <w:spacing w:before="240"/>
        <w:ind w:left="360"/>
        <w:outlineLvl w:val="2"/>
        <w:rPr>
          <w:b/>
          <w:bCs/>
          <w:noProof/>
          <w:szCs w:val="20"/>
        </w:rPr>
      </w:pPr>
      <w:r w:rsidRPr="00281428">
        <w:rPr>
          <w:b/>
          <w:bCs/>
          <w:noProof/>
          <w:szCs w:val="20"/>
        </w:rPr>
        <w:t>4.5.1. Test Equipment</w:t>
      </w:r>
    </w:p>
    <w:p w14:paraId="73387C9D" w14:textId="77777777" w:rsidR="00C96A77" w:rsidRPr="00281428" w:rsidRDefault="00C96A77" w:rsidP="00281761">
      <w:pPr>
        <w:pStyle w:val="ListParagraph"/>
        <w:numPr>
          <w:ilvl w:val="0"/>
          <w:numId w:val="47"/>
        </w:numPr>
        <w:ind w:left="1080"/>
      </w:pPr>
      <w:r w:rsidRPr="00281428">
        <w:t>A scale that meets the requirements in Section 2.2. “Measurement Standards and Test Equipment.”</w:t>
      </w:r>
    </w:p>
    <w:p w14:paraId="5911787D" w14:textId="77777777" w:rsidR="00C96A77" w:rsidRPr="00281428" w:rsidRDefault="00C96A77" w:rsidP="00281761">
      <w:pPr>
        <w:pStyle w:val="ListParagraph"/>
        <w:numPr>
          <w:ilvl w:val="0"/>
          <w:numId w:val="47"/>
        </w:numPr>
        <w:ind w:left="1080"/>
      </w:pPr>
      <w:r w:rsidRPr="00281428">
        <w:t>Steel tapes and rulers.  Determine measurements of length to the nearest division of the appropriate tape or ruler.</w:t>
      </w:r>
    </w:p>
    <w:p w14:paraId="0E482B28" w14:textId="77777777" w:rsidR="00C96A77" w:rsidRPr="00281428" w:rsidRDefault="00C96A77" w:rsidP="00281761">
      <w:pPr>
        <w:numPr>
          <w:ilvl w:val="0"/>
          <w:numId w:val="28"/>
        </w:numPr>
        <w:tabs>
          <w:tab w:val="clear" w:pos="792"/>
        </w:tabs>
        <w:ind w:left="1440" w:hanging="360"/>
        <w:rPr>
          <w:color w:val="000000"/>
          <w:szCs w:val="20"/>
        </w:rPr>
      </w:pPr>
      <w:r w:rsidRPr="00281428">
        <w:rPr>
          <w:color w:val="000000"/>
          <w:szCs w:val="20"/>
        </w:rPr>
        <w:lastRenderedPageBreak/>
        <w:t>Metric units:</w:t>
      </w:r>
    </w:p>
    <w:p w14:paraId="01AC458C" w14:textId="77777777" w:rsidR="00C96A77" w:rsidRPr="00281428" w:rsidRDefault="00C96A77" w:rsidP="00281761">
      <w:pPr>
        <w:ind w:left="1440" w:hanging="360"/>
        <w:rPr>
          <w:color w:val="000000"/>
          <w:szCs w:val="20"/>
        </w:rPr>
      </w:pPr>
      <w:r w:rsidRPr="00281428">
        <w:rPr>
          <w:color w:val="000000"/>
          <w:szCs w:val="20"/>
        </w:rPr>
        <w:tab/>
        <w:t>For labeled dimensions 400 mm or less, linear measure:  300 mm in length, 1 mm divisions; or a 1 m ruler with 0.1 mm divisions, overall length tolerance of 0.4 mm.</w:t>
      </w:r>
    </w:p>
    <w:p w14:paraId="48F4BF2F" w14:textId="77777777" w:rsidR="00C96A77" w:rsidRPr="00281428" w:rsidRDefault="00C96A77" w:rsidP="00281761">
      <w:pPr>
        <w:ind w:left="1440" w:hanging="360"/>
        <w:rPr>
          <w:color w:val="000000"/>
          <w:szCs w:val="20"/>
        </w:rPr>
      </w:pPr>
      <w:r w:rsidRPr="00281428">
        <w:rPr>
          <w:color w:val="000000"/>
          <w:szCs w:val="20"/>
        </w:rPr>
        <w:tab/>
        <w:t>For labeled dimensions greater than 400 mm, 30 m tape with 1 mm divisions.</w:t>
      </w:r>
    </w:p>
    <w:p w14:paraId="7057582C" w14:textId="77777777" w:rsidR="00C96A77" w:rsidRPr="00281428" w:rsidRDefault="00C96A77" w:rsidP="0081419D">
      <w:pPr>
        <w:numPr>
          <w:ilvl w:val="0"/>
          <w:numId w:val="28"/>
        </w:numPr>
        <w:tabs>
          <w:tab w:val="clear" w:pos="792"/>
        </w:tabs>
        <w:ind w:left="1440" w:hanging="360"/>
        <w:rPr>
          <w:color w:val="000000"/>
          <w:szCs w:val="20"/>
        </w:rPr>
      </w:pPr>
      <w:r w:rsidRPr="00281428">
        <w:rPr>
          <w:color w:val="000000"/>
          <w:szCs w:val="20"/>
        </w:rPr>
        <w:t>U.S. customary units:</w:t>
      </w:r>
    </w:p>
    <w:p w14:paraId="61DE889E" w14:textId="77777777" w:rsidR="00C96A77" w:rsidRPr="00281428" w:rsidRDefault="00C96A77" w:rsidP="0081419D">
      <w:pPr>
        <w:autoSpaceDE w:val="0"/>
        <w:ind w:left="1440" w:hanging="360"/>
        <w:rPr>
          <w:color w:val="000000"/>
          <w:szCs w:val="20"/>
        </w:rPr>
      </w:pPr>
      <w:r w:rsidRPr="00281428">
        <w:rPr>
          <w:color w:val="000000"/>
          <w:szCs w:val="20"/>
        </w:rPr>
        <w:tab/>
        <w:t xml:space="preserve">For labeled dimensions 25 in or less, use a 36 in ruler with </w:t>
      </w:r>
      <w:r w:rsidRPr="00281428">
        <w:rPr>
          <w:color w:val="000000"/>
          <w:spacing w:val="-12"/>
          <w:szCs w:val="20"/>
          <w:vertAlign w:val="superscript"/>
        </w:rPr>
        <w:t>1</w:t>
      </w:r>
      <w:r w:rsidRPr="00281428">
        <w:rPr>
          <w:color w:val="000000"/>
          <w:spacing w:val="-12"/>
          <w:szCs w:val="20"/>
        </w:rPr>
        <w:t>/</w:t>
      </w:r>
      <w:r w:rsidRPr="00281428">
        <w:rPr>
          <w:color w:val="000000"/>
          <w:spacing w:val="-12"/>
          <w:szCs w:val="20"/>
          <w:vertAlign w:val="subscript"/>
        </w:rPr>
        <w:t>64</w:t>
      </w:r>
      <w:r w:rsidRPr="00281428">
        <w:rPr>
          <w:color w:val="000000"/>
          <w:szCs w:val="20"/>
        </w:rPr>
        <w:t xml:space="preserve"> in or </w:t>
      </w:r>
      <w:r w:rsidRPr="00281428">
        <w:rPr>
          <w:color w:val="000000"/>
          <w:spacing w:val="-12"/>
          <w:szCs w:val="20"/>
          <w:vertAlign w:val="superscript"/>
        </w:rPr>
        <w:t>1</w:t>
      </w:r>
      <w:r w:rsidRPr="00281428">
        <w:rPr>
          <w:color w:val="000000"/>
          <w:spacing w:val="-12"/>
          <w:szCs w:val="20"/>
        </w:rPr>
        <w:t>/</w:t>
      </w:r>
      <w:r w:rsidRPr="00281428">
        <w:rPr>
          <w:color w:val="000000"/>
          <w:spacing w:val="-12"/>
          <w:szCs w:val="20"/>
          <w:vertAlign w:val="subscript"/>
        </w:rPr>
        <w:t>100</w:t>
      </w:r>
      <w:r w:rsidRPr="00281428">
        <w:rPr>
          <w:color w:val="000000"/>
          <w:szCs w:val="20"/>
        </w:rPr>
        <w:t xml:space="preserve"> in divisions and an overall length tolerance of </w:t>
      </w:r>
      <w:r w:rsidRPr="00281428">
        <w:rPr>
          <w:color w:val="000000"/>
          <w:position w:val="-2"/>
          <w:szCs w:val="20"/>
          <w:vertAlign w:val="superscript"/>
        </w:rPr>
        <w:t>1</w:t>
      </w:r>
      <w:r w:rsidRPr="00281428">
        <w:rPr>
          <w:color w:val="000000"/>
          <w:spacing w:val="-12"/>
          <w:szCs w:val="20"/>
        </w:rPr>
        <w:t>/</w:t>
      </w:r>
      <w:r w:rsidRPr="00281428">
        <w:rPr>
          <w:color w:val="000000"/>
          <w:position w:val="2"/>
          <w:szCs w:val="20"/>
          <w:vertAlign w:val="subscript"/>
        </w:rPr>
        <w:t>64</w:t>
      </w:r>
      <w:r w:rsidRPr="00281428">
        <w:rPr>
          <w:color w:val="000000"/>
          <w:szCs w:val="20"/>
        </w:rPr>
        <w:t> in.</w:t>
      </w:r>
    </w:p>
    <w:p w14:paraId="312C0053" w14:textId="77777777" w:rsidR="00C96A77" w:rsidRPr="00281428" w:rsidRDefault="00C96A77" w:rsidP="0081419D">
      <w:pPr>
        <w:autoSpaceDE w:val="0"/>
        <w:ind w:left="1440" w:hanging="360"/>
        <w:rPr>
          <w:color w:val="000000"/>
          <w:szCs w:val="20"/>
        </w:rPr>
      </w:pPr>
      <w:r w:rsidRPr="00281428">
        <w:rPr>
          <w:color w:val="000000"/>
          <w:szCs w:val="20"/>
        </w:rPr>
        <w:tab/>
        <w:t xml:space="preserve">For dimensions greater than 25 in, use a 100 ft tape with </w:t>
      </w:r>
      <w:r w:rsidRPr="00281428">
        <w:rPr>
          <w:color w:val="000000"/>
          <w:spacing w:val="-12"/>
          <w:szCs w:val="20"/>
          <w:vertAlign w:val="superscript"/>
        </w:rPr>
        <w:t>1</w:t>
      </w:r>
      <w:r w:rsidRPr="00281428">
        <w:rPr>
          <w:color w:val="000000"/>
          <w:spacing w:val="-12"/>
          <w:szCs w:val="20"/>
        </w:rPr>
        <w:t>/</w:t>
      </w:r>
      <w:r w:rsidRPr="00281428">
        <w:rPr>
          <w:color w:val="000000"/>
          <w:spacing w:val="-12"/>
          <w:szCs w:val="20"/>
          <w:vertAlign w:val="subscript"/>
        </w:rPr>
        <w:t>16</w:t>
      </w:r>
      <w:r w:rsidRPr="00281428">
        <w:rPr>
          <w:color w:val="000000"/>
          <w:szCs w:val="20"/>
        </w:rPr>
        <w:t> in divisions and an overall length tolerance of 0.1 in.</w:t>
      </w:r>
    </w:p>
    <w:p w14:paraId="00152B5A" w14:textId="77777777" w:rsidR="00C96A77" w:rsidRPr="00281428" w:rsidRDefault="00C96A77" w:rsidP="0081419D">
      <w:pPr>
        <w:pStyle w:val="ListParagraph"/>
        <w:numPr>
          <w:ilvl w:val="0"/>
          <w:numId w:val="48"/>
        </w:numPr>
        <w:autoSpaceDE w:val="0"/>
        <w:ind w:left="1080"/>
        <w:rPr>
          <w:b/>
          <w:color w:val="000000"/>
          <w:szCs w:val="20"/>
          <w:u w:val="double"/>
        </w:rPr>
      </w:pPr>
      <w:r w:rsidRPr="00281428">
        <w:rPr>
          <w:b/>
          <w:color w:val="000000"/>
          <w:szCs w:val="20"/>
          <w:u w:val="double"/>
        </w:rPr>
        <w:t>Thickness Measuring Device (use one of the following)</w:t>
      </w:r>
    </w:p>
    <w:p w14:paraId="472CBBD7" w14:textId="77777777" w:rsidR="00C96A77" w:rsidRPr="00281428" w:rsidRDefault="00C96A77" w:rsidP="00DA1FCD">
      <w:pPr>
        <w:numPr>
          <w:ilvl w:val="0"/>
          <w:numId w:val="29"/>
        </w:numPr>
        <w:autoSpaceDE w:val="0"/>
        <w:ind w:left="1440"/>
        <w:rPr>
          <w:b/>
          <w:color w:val="000000"/>
          <w:szCs w:val="20"/>
          <w:u w:val="single"/>
        </w:rPr>
      </w:pPr>
      <w:r w:rsidRPr="00281428">
        <w:rPr>
          <w:color w:val="000000"/>
          <w:szCs w:val="20"/>
        </w:rPr>
        <w:t xml:space="preserve">Deadweight dial micrometer (or equal) equipped with a flat anvil, 6.35 mm or (¼ in) diameter or larger, and </w:t>
      </w:r>
      <w:r w:rsidRPr="00281428">
        <w:rPr>
          <w:b/>
          <w:strike/>
          <w:color w:val="000000"/>
          <w:szCs w:val="20"/>
        </w:rPr>
        <w:t>a 4.75 mm (</w:t>
      </w:r>
      <w:r w:rsidRPr="00281428">
        <w:rPr>
          <w:b/>
          <w:strike/>
          <w:color w:val="000000"/>
          <w:position w:val="-2"/>
          <w:szCs w:val="20"/>
          <w:vertAlign w:val="superscript"/>
        </w:rPr>
        <w:t>3</w:t>
      </w:r>
      <w:r w:rsidRPr="00281428">
        <w:rPr>
          <w:b/>
          <w:strike/>
          <w:color w:val="000000"/>
          <w:spacing w:val="-12"/>
          <w:szCs w:val="20"/>
        </w:rPr>
        <w:t>/</w:t>
      </w:r>
      <w:r w:rsidRPr="00281428">
        <w:rPr>
          <w:b/>
          <w:strike/>
          <w:color w:val="000000"/>
          <w:position w:val="2"/>
          <w:szCs w:val="20"/>
          <w:vertAlign w:val="subscript"/>
        </w:rPr>
        <w:t>16</w:t>
      </w:r>
      <w:r w:rsidRPr="00281428">
        <w:rPr>
          <w:b/>
          <w:strike/>
          <w:color w:val="000000"/>
          <w:szCs w:val="20"/>
        </w:rPr>
        <w:t> in) diameter</w:t>
      </w:r>
      <w:r w:rsidRPr="00281428">
        <w:rPr>
          <w:color w:val="000000"/>
          <w:szCs w:val="20"/>
        </w:rPr>
        <w:t xml:space="preserve"> flat </w:t>
      </w:r>
      <w:r w:rsidRPr="00281428">
        <w:rPr>
          <w:b/>
          <w:strike/>
          <w:color w:val="000000"/>
          <w:szCs w:val="20"/>
        </w:rPr>
        <w:t>surface on the head of the</w:t>
      </w:r>
      <w:r w:rsidRPr="00281428">
        <w:rPr>
          <w:color w:val="000000"/>
          <w:szCs w:val="20"/>
        </w:rPr>
        <w:t xml:space="preserve"> spindle</w:t>
      </w:r>
      <w:r w:rsidRPr="00281428">
        <w:rPr>
          <w:b/>
          <w:color w:val="000000"/>
          <w:szCs w:val="20"/>
          <w:u w:val="single"/>
        </w:rPr>
        <w:t xml:space="preserve"> head with a diameter between 3.20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8</w:t>
      </w:r>
      <w:r w:rsidRPr="00281428">
        <w:rPr>
          <w:b/>
          <w:color w:val="000000"/>
          <w:szCs w:val="20"/>
          <w:u w:val="single"/>
        </w:rPr>
        <w:t xml:space="preserve"> in) and 12.70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2</w:t>
      </w:r>
      <w:r w:rsidRPr="00281428">
        <w:rPr>
          <w:b/>
          <w:color w:val="000000"/>
          <w:szCs w:val="20"/>
          <w:u w:val="single"/>
        </w:rPr>
        <w:t xml:space="preserve"> in)</w:t>
      </w:r>
      <w:r w:rsidRPr="00281428">
        <w:rPr>
          <w:color w:val="000000"/>
          <w:szCs w:val="20"/>
        </w:rPr>
        <w:t xml:space="preserve">.    </w:t>
      </w:r>
    </w:p>
    <w:p w14:paraId="1A2EFE07" w14:textId="77777777" w:rsidR="00C96A77" w:rsidRPr="00281428" w:rsidRDefault="00C96A77" w:rsidP="00C96A77">
      <w:pPr>
        <w:autoSpaceDE w:val="0"/>
        <w:ind w:left="1080"/>
        <w:rPr>
          <w:rFonts w:ascii="Times New Roman Bold" w:hAnsi="Times New Roman Bold"/>
          <w:b/>
          <w:dstrike/>
          <w:color w:val="000000"/>
          <w:szCs w:val="20"/>
        </w:rPr>
      </w:pPr>
      <w:r w:rsidRPr="00281428">
        <w:rPr>
          <w:rFonts w:ascii="Times New Roman Bold" w:hAnsi="Times New Roman Bold"/>
          <w:color w:val="000000"/>
          <w:szCs w:val="20"/>
        </w:rPr>
        <w:tab/>
      </w:r>
      <w:r w:rsidRPr="00281428">
        <w:rPr>
          <w:rFonts w:ascii="Times New Roman Bold" w:hAnsi="Times New Roman Bold"/>
          <w:b/>
          <w:dstrike/>
          <w:color w:val="000000"/>
          <w:szCs w:val="20"/>
        </w:rPr>
        <w:t>Note:   Electronic or other instruments that provide equivalent accuracy are also permitted.</w:t>
      </w:r>
    </w:p>
    <w:p w14:paraId="17D40845" w14:textId="77777777" w:rsidR="00C96A77" w:rsidRPr="00281428" w:rsidRDefault="00C96A77" w:rsidP="00DA1FCD">
      <w:pPr>
        <w:numPr>
          <w:ilvl w:val="0"/>
          <w:numId w:val="49"/>
        </w:numPr>
        <w:autoSpaceDE w:val="0"/>
        <w:rPr>
          <w:b/>
          <w:strike/>
          <w:color w:val="000000"/>
          <w:szCs w:val="20"/>
        </w:rPr>
      </w:pPr>
      <w:r w:rsidRPr="00281428">
        <w:rPr>
          <w:b/>
          <w:strike/>
          <w:color w:val="000000"/>
          <w:szCs w:val="20"/>
        </w:rPr>
        <w:t xml:space="preserve">The mass of the probe head (total of anvil, weight 102 g or [3.6 oz], spindle, etc.) must total 113.4 g (4 oz).  </w:t>
      </w:r>
      <w:r w:rsidRPr="00281428">
        <w:rPr>
          <w:b/>
          <w:color w:val="000000"/>
          <w:szCs w:val="20"/>
          <w:u w:val="single"/>
        </w:rPr>
        <w:t>The pressure exerted by the instrument should not exceed 70 kPa (10 psi).</w:t>
      </w:r>
    </w:p>
    <w:p w14:paraId="3C4DFB9C" w14:textId="77777777" w:rsidR="00C96A77" w:rsidRPr="00281428" w:rsidRDefault="00C96A77" w:rsidP="00DA1FCD">
      <w:pPr>
        <w:numPr>
          <w:ilvl w:val="0"/>
          <w:numId w:val="49"/>
        </w:numPr>
        <w:autoSpaceDE w:val="0"/>
        <w:rPr>
          <w:color w:val="000000"/>
          <w:szCs w:val="20"/>
        </w:rPr>
      </w:pPr>
      <w:r w:rsidRPr="00281428">
        <w:rPr>
          <w:color w:val="000000"/>
          <w:szCs w:val="20"/>
        </w:rPr>
        <w:t xml:space="preserve">The anvil and spindle head surfaces should be ground and lapped, parallel to within 0.002 mm (0.0001 in), and should move on an axis perpendicular to their surfaces. </w:t>
      </w:r>
    </w:p>
    <w:p w14:paraId="16BA6086" w14:textId="77777777" w:rsidR="00C96A77" w:rsidRPr="00281428" w:rsidRDefault="00C96A77" w:rsidP="00DA1FCD">
      <w:pPr>
        <w:numPr>
          <w:ilvl w:val="0"/>
          <w:numId w:val="49"/>
        </w:numPr>
        <w:autoSpaceDE w:val="0"/>
        <w:rPr>
          <w:color w:val="000000"/>
          <w:szCs w:val="20"/>
        </w:rPr>
      </w:pPr>
      <w:r w:rsidRPr="00281428">
        <w:rPr>
          <w:color w:val="000000"/>
          <w:szCs w:val="20"/>
        </w:rPr>
        <w:t xml:space="preserve">The dial spindle should be vertical, and the dial should be at least 50.8 mm (2 in) in diameter.  </w:t>
      </w:r>
    </w:p>
    <w:p w14:paraId="0715A7C9" w14:textId="77777777" w:rsidR="00C96A77" w:rsidRPr="00281428" w:rsidRDefault="00C96A77" w:rsidP="00DA1FCD">
      <w:pPr>
        <w:numPr>
          <w:ilvl w:val="0"/>
          <w:numId w:val="49"/>
        </w:numPr>
        <w:autoSpaceDE w:val="0"/>
        <w:rPr>
          <w:color w:val="000000"/>
          <w:szCs w:val="20"/>
        </w:rPr>
      </w:pPr>
      <w:r w:rsidRPr="00281428">
        <w:rPr>
          <w:color w:val="000000"/>
          <w:szCs w:val="20"/>
        </w:rPr>
        <w:t xml:space="preserve">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w:t>
      </w:r>
    </w:p>
    <w:p w14:paraId="64D278D9" w14:textId="77777777" w:rsidR="00C96A77" w:rsidRPr="00281428" w:rsidRDefault="00C96A77" w:rsidP="00DA1FCD">
      <w:pPr>
        <w:numPr>
          <w:ilvl w:val="0"/>
          <w:numId w:val="49"/>
        </w:numPr>
        <w:autoSpaceDE w:val="0"/>
        <w:rPr>
          <w:color w:val="000000"/>
          <w:szCs w:val="20"/>
        </w:rPr>
      </w:pPr>
      <w:r w:rsidRPr="00281428">
        <w:rPr>
          <w:color w:val="000000"/>
          <w:szCs w:val="20"/>
        </w:rPr>
        <w:t xml:space="preserve">The frame should be of sufficient rigidity that a load of 1.36 kg (3 lb) applied to the dial housing, exclusive of the weight or spindle presser foot, will not cause a change in indication on the dial of more than 0.02 mm (0.001 in).  </w:t>
      </w:r>
    </w:p>
    <w:p w14:paraId="79730AD3" w14:textId="77777777" w:rsidR="00C96A77" w:rsidRPr="00281428" w:rsidRDefault="00C96A77" w:rsidP="00DA1FCD">
      <w:pPr>
        <w:numPr>
          <w:ilvl w:val="0"/>
          <w:numId w:val="49"/>
        </w:numPr>
        <w:autoSpaceDE w:val="0"/>
        <w:rPr>
          <w:color w:val="000000"/>
          <w:szCs w:val="20"/>
        </w:rPr>
      </w:pPr>
      <w:r w:rsidRPr="00281428">
        <w:rPr>
          <w:color w:val="000000"/>
          <w:szCs w:val="20"/>
        </w:rPr>
        <w:t xml:space="preserve">The indicator reading must be repeatable to 0.001 2 mm (0.000 05 in) at zero.  </w:t>
      </w:r>
    </w:p>
    <w:p w14:paraId="4D73335E" w14:textId="77777777" w:rsidR="00C96A77" w:rsidRPr="00281428" w:rsidRDefault="00C96A77" w:rsidP="00DA1FCD">
      <w:pPr>
        <w:numPr>
          <w:ilvl w:val="0"/>
          <w:numId w:val="49"/>
        </w:numPr>
        <w:autoSpaceDE w:val="0"/>
        <w:rPr>
          <w:color w:val="000000"/>
          <w:szCs w:val="20"/>
        </w:rPr>
      </w:pPr>
      <w:r w:rsidRPr="00281428">
        <w:rPr>
          <w:color w:val="000000"/>
          <w:szCs w:val="20"/>
        </w:rPr>
        <w:t>The micrometer should be operated in an atmosphere free from drafts and fluctuating temperature and should be stabilized at ambient room temperature before use.</w:t>
      </w:r>
    </w:p>
    <w:p w14:paraId="57867A95" w14:textId="77777777" w:rsidR="00C96A77" w:rsidRPr="00281428" w:rsidRDefault="00C96A77" w:rsidP="00C96A77">
      <w:pPr>
        <w:autoSpaceDE w:val="0"/>
        <w:ind w:left="1440"/>
        <w:rPr>
          <w:b/>
          <w:dstrike/>
          <w:color w:val="000000"/>
          <w:szCs w:val="20"/>
        </w:rPr>
      </w:pPr>
      <w:r w:rsidRPr="00281428">
        <w:rPr>
          <w:rFonts w:ascii="Times New Roman Bold" w:hAnsi="Times New Roman Bold"/>
          <w:b/>
          <w:dstrike/>
          <w:color w:val="000000"/>
          <w:szCs w:val="20"/>
        </w:rPr>
        <w:t xml:space="preserve">Note: </w:t>
      </w:r>
      <w:r w:rsidRPr="00281428">
        <w:rPr>
          <w:b/>
          <w:dstrike/>
          <w:color w:val="000000"/>
          <w:szCs w:val="20"/>
        </w:rPr>
        <w:t>Other instruments are commercially available that utilize different methods of measuring thickness.  Instruments of this nature are acceptable provided they meet or exceed the precision requirements noted within the latest version of ASTM D6988 “Guide for Determination of Thickness of Plastic Film Test Specimens” and the requirements of the applicable material or product specification or applicable test standards.</w:t>
      </w:r>
    </w:p>
    <w:p w14:paraId="5D19935F" w14:textId="77777777" w:rsidR="00C96A77" w:rsidRPr="00281428" w:rsidRDefault="00C96A77" w:rsidP="00DA1FCD">
      <w:pPr>
        <w:pStyle w:val="ListParagraph"/>
        <w:numPr>
          <w:ilvl w:val="0"/>
          <w:numId w:val="50"/>
        </w:numPr>
        <w:autoSpaceDE w:val="0"/>
        <w:ind w:left="1440"/>
        <w:rPr>
          <w:b/>
          <w:color w:val="000000"/>
          <w:szCs w:val="20"/>
          <w:u w:val="double"/>
        </w:rPr>
      </w:pPr>
      <w:r w:rsidRPr="00281428">
        <w:rPr>
          <w:b/>
          <w:color w:val="000000"/>
          <w:szCs w:val="20"/>
          <w:u w:val="double"/>
        </w:rPr>
        <w:t xml:space="preserve">Electronic Instrument that </w:t>
      </w:r>
      <w:proofErr w:type="gramStart"/>
      <w:r w:rsidRPr="00281428">
        <w:rPr>
          <w:b/>
          <w:color w:val="000000"/>
          <w:szCs w:val="20"/>
          <w:u w:val="double"/>
        </w:rPr>
        <w:t>meet</w:t>
      </w:r>
      <w:proofErr w:type="gramEnd"/>
      <w:r w:rsidRPr="00281428">
        <w:rPr>
          <w:b/>
          <w:color w:val="000000"/>
          <w:szCs w:val="20"/>
          <w:u w:val="double"/>
        </w:rPr>
        <w:t xml:space="preserve"> or exceed the precision requirements within the latest version of ASTM D6988 “Guide for Determination of Thickness of Plastic Film Test Specimens” and </w:t>
      </w:r>
      <w:r w:rsidRPr="00281428">
        <w:rPr>
          <w:b/>
          <w:color w:val="000000"/>
          <w:szCs w:val="20"/>
          <w:u w:val="double"/>
        </w:rPr>
        <w:lastRenderedPageBreak/>
        <w:t>the requirements of the applicable material or product specification or applicable test standards</w:t>
      </w:r>
    </w:p>
    <w:p w14:paraId="39379D45" w14:textId="77777777" w:rsidR="00C96A77" w:rsidRPr="00281428" w:rsidRDefault="00C96A77" w:rsidP="002F0196">
      <w:pPr>
        <w:numPr>
          <w:ilvl w:val="0"/>
          <w:numId w:val="31"/>
        </w:numPr>
        <w:ind w:left="1080"/>
        <w:rPr>
          <w:szCs w:val="20"/>
          <w:u w:val="single"/>
        </w:rPr>
      </w:pPr>
      <w:r w:rsidRPr="00281428">
        <w:rPr>
          <w:color w:val="000000"/>
          <w:szCs w:val="20"/>
        </w:rPr>
        <w:t>Gage blocks covering the range of thicknesses to be tested should be used to check the accuracy of the micrometer</w:t>
      </w:r>
    </w:p>
    <w:p w14:paraId="25994047" w14:textId="35849475" w:rsidR="00C96A77" w:rsidRPr="00281428" w:rsidRDefault="00C96A77" w:rsidP="002F0196">
      <w:pPr>
        <w:numPr>
          <w:ilvl w:val="0"/>
          <w:numId w:val="31"/>
        </w:numPr>
        <w:ind w:left="1080"/>
        <w:rPr>
          <w:szCs w:val="20"/>
          <w:u w:val="single"/>
        </w:rPr>
      </w:pPr>
      <w:r w:rsidRPr="00281428">
        <w:rPr>
          <w:rFonts w:eastAsia="Times New Roman"/>
          <w:szCs w:val="24"/>
        </w:rPr>
        <w:t>T-square</w:t>
      </w:r>
      <w:bookmarkEnd w:id="323"/>
    </w:p>
    <w:p w14:paraId="03439FF7" w14:textId="5963C871" w:rsidR="00C96A77" w:rsidRPr="00281428" w:rsidRDefault="00C96A77">
      <w:pPr>
        <w:rPr>
          <w:szCs w:val="20"/>
        </w:rPr>
      </w:pPr>
      <w:r w:rsidRPr="00281428">
        <w:rPr>
          <w:szCs w:val="20"/>
          <w:u w:val="single"/>
        </w:rPr>
        <w:t>SWMA 2019 Annual Meeting:</w:t>
      </w:r>
      <w:r w:rsidRPr="00281428">
        <w:rPr>
          <w:szCs w:val="20"/>
        </w:rPr>
        <w:t xml:space="preserve">  </w:t>
      </w:r>
      <w:r w:rsidRPr="00281428">
        <w:rPr>
          <w:rFonts w:eastAsia="Times New Roman"/>
          <w:szCs w:val="24"/>
        </w:rPr>
        <w:t>The Committee did not hear any comments regarding this item from regulators.  It was noted that if you are adding electronic instruments then the test procedure should also address them throughout the test procedure.</w:t>
      </w:r>
      <w:r w:rsidR="00B27567" w:rsidRPr="00281428">
        <w:rPr>
          <w:rFonts w:eastAsia="Times New Roman"/>
          <w:szCs w:val="24"/>
        </w:rPr>
        <w:t xml:space="preserve">  </w:t>
      </w:r>
      <w:r w:rsidRPr="00281428">
        <w:rPr>
          <w:rFonts w:eastAsia="Times New Roman"/>
          <w:szCs w:val="24"/>
        </w:rPr>
        <w:t>The SWMA encourages the submitter to develop this proposal.</w:t>
      </w:r>
    </w:p>
    <w:p w14:paraId="545C74BC" w14:textId="70F8EF3A" w:rsidR="00C96A77" w:rsidRPr="00281428" w:rsidRDefault="00C96A77">
      <w:pPr>
        <w:rPr>
          <w:szCs w:val="20"/>
        </w:rPr>
      </w:pPr>
      <w:r w:rsidRPr="00281428">
        <w:rPr>
          <w:szCs w:val="20"/>
          <w:u w:val="single"/>
        </w:rPr>
        <w:t>NEWMA 20</w:t>
      </w:r>
      <w:r w:rsidR="00D335B6" w:rsidRPr="00281428">
        <w:rPr>
          <w:szCs w:val="20"/>
          <w:u w:val="single"/>
        </w:rPr>
        <w:t>20</w:t>
      </w:r>
      <w:r w:rsidRPr="00281428">
        <w:rPr>
          <w:szCs w:val="20"/>
          <w:u w:val="single"/>
        </w:rPr>
        <w:t xml:space="preserve"> Interim Meeting:</w:t>
      </w:r>
      <w:r w:rsidRPr="00281428">
        <w:rPr>
          <w:szCs w:val="20"/>
        </w:rPr>
        <w:t xml:space="preserve">  </w:t>
      </w:r>
      <w:r w:rsidR="0017488E" w:rsidRPr="00281428">
        <w:rPr>
          <w:rFonts w:eastAsia="Times New Roman"/>
          <w:szCs w:val="24"/>
        </w:rPr>
        <w:t xml:space="preserve">Mr. Mike </w:t>
      </w:r>
      <w:r w:rsidR="00D335B6" w:rsidRPr="00281428">
        <w:rPr>
          <w:rFonts w:eastAsia="Times New Roman"/>
          <w:szCs w:val="24"/>
        </w:rPr>
        <w:t>Sikula (</w:t>
      </w:r>
      <w:r w:rsidR="003C14F5">
        <w:rPr>
          <w:rFonts w:eastAsia="Times New Roman"/>
          <w:szCs w:val="24"/>
        </w:rPr>
        <w:t>NY,</w:t>
      </w:r>
      <w:r w:rsidR="0017488E" w:rsidRPr="00281428">
        <w:rPr>
          <w:rFonts w:eastAsia="Times New Roman"/>
          <w:szCs w:val="24"/>
        </w:rPr>
        <w:t xml:space="preserve"> submitter</w:t>
      </w:r>
      <w:r w:rsidR="00D335B6" w:rsidRPr="00281428">
        <w:rPr>
          <w:rFonts w:eastAsia="Times New Roman"/>
          <w:szCs w:val="24"/>
        </w:rPr>
        <w:t>) reported this item is fully developed</w:t>
      </w:r>
      <w:r w:rsidRPr="00281428">
        <w:rPr>
          <w:rFonts w:eastAsia="Times New Roman"/>
          <w:szCs w:val="24"/>
        </w:rPr>
        <w:t>.</w:t>
      </w:r>
    </w:p>
    <w:p w14:paraId="02EE244D" w14:textId="7A8F48C9" w:rsidR="00C668E1" w:rsidRPr="00281428" w:rsidRDefault="00C96A77">
      <w:r w:rsidRPr="00281428">
        <w:rPr>
          <w:szCs w:val="20"/>
          <w:u w:val="single"/>
        </w:rPr>
        <w:t>CWMA 20</w:t>
      </w:r>
      <w:r w:rsidR="00D335B6" w:rsidRPr="00281428">
        <w:rPr>
          <w:szCs w:val="20"/>
          <w:u w:val="single"/>
        </w:rPr>
        <w:t>20</w:t>
      </w:r>
      <w:r w:rsidRPr="00281428">
        <w:rPr>
          <w:szCs w:val="20"/>
          <w:u w:val="single"/>
        </w:rPr>
        <w:t xml:space="preserve"> Interim Meeting:</w:t>
      </w:r>
      <w:r w:rsidRPr="00281428">
        <w:rPr>
          <w:szCs w:val="20"/>
        </w:rPr>
        <w:t xml:space="preserve">  </w:t>
      </w:r>
      <w:r w:rsidR="00D335B6" w:rsidRPr="00281428">
        <w:t>M</w:t>
      </w:r>
      <w:r w:rsidR="0017488E" w:rsidRPr="00281428">
        <w:t>s</w:t>
      </w:r>
      <w:r w:rsidR="00D335B6" w:rsidRPr="00281428">
        <w:t>. Lisa Warfield (NIST</w:t>
      </w:r>
      <w:r w:rsidR="003C14F5">
        <w:t xml:space="preserve"> OWM</w:t>
      </w:r>
      <w:r w:rsidR="00D335B6" w:rsidRPr="00281428">
        <w:t>) commented that she reached out to Mr. Mike Sikula and Mr. Jim Willis (</w:t>
      </w:r>
      <w:r w:rsidR="003C14F5">
        <w:t>NY, submitter</w:t>
      </w:r>
      <w:r w:rsidR="00D335B6" w:rsidRPr="00281428">
        <w:t>) and recommended that they reach out to the D20 ASTM Committee for further review on this item.</w:t>
      </w:r>
      <w:r w:rsidR="00D335B6" w:rsidRPr="00281428">
        <w:rPr>
          <w:spacing w:val="30"/>
        </w:rPr>
        <w:t xml:space="preserve"> </w:t>
      </w:r>
      <w:r w:rsidR="003C14F5">
        <w:rPr>
          <w:spacing w:val="30"/>
        </w:rPr>
        <w:t xml:space="preserve"> </w:t>
      </w:r>
      <w:r w:rsidR="00D335B6" w:rsidRPr="00281428">
        <w:t>Mr.</w:t>
      </w:r>
      <w:r w:rsidR="00D335B6" w:rsidRPr="00281428">
        <w:rPr>
          <w:spacing w:val="-10"/>
        </w:rPr>
        <w:t xml:space="preserve"> </w:t>
      </w:r>
      <w:r w:rsidR="00D335B6" w:rsidRPr="00281428">
        <w:t>Loren</w:t>
      </w:r>
      <w:r w:rsidR="00D335B6" w:rsidRPr="00281428">
        <w:rPr>
          <w:spacing w:val="-9"/>
        </w:rPr>
        <w:t xml:space="preserve"> </w:t>
      </w:r>
      <w:r w:rsidR="00B27567" w:rsidRPr="00281428">
        <w:t>Minnich (</w:t>
      </w:r>
      <w:r w:rsidR="003C14F5">
        <w:t>KS</w:t>
      </w:r>
      <w:r w:rsidR="00B27567" w:rsidRPr="00281428">
        <w:t xml:space="preserve">) a </w:t>
      </w:r>
      <w:r w:rsidR="00D335B6" w:rsidRPr="00281428">
        <w:t>regulator</w:t>
      </w:r>
      <w:r w:rsidR="00B27567" w:rsidRPr="00281428">
        <w:t>,</w:t>
      </w:r>
      <w:r w:rsidR="00D335B6" w:rsidRPr="00281428">
        <w:rPr>
          <w:spacing w:val="-9"/>
        </w:rPr>
        <w:t xml:space="preserve"> </w:t>
      </w:r>
      <w:r w:rsidR="00D335B6" w:rsidRPr="00281428">
        <w:t>believes</w:t>
      </w:r>
      <w:r w:rsidR="00D335B6" w:rsidRPr="00281428">
        <w:rPr>
          <w:spacing w:val="-11"/>
        </w:rPr>
        <w:t xml:space="preserve"> </w:t>
      </w:r>
      <w:r w:rsidR="00D335B6" w:rsidRPr="00281428">
        <w:t>there</w:t>
      </w:r>
      <w:r w:rsidR="00D335B6" w:rsidRPr="00281428">
        <w:rPr>
          <w:spacing w:val="-10"/>
        </w:rPr>
        <w:t xml:space="preserve"> </w:t>
      </w:r>
      <w:r w:rsidR="00D335B6" w:rsidRPr="00281428">
        <w:t>is</w:t>
      </w:r>
      <w:r w:rsidR="00D335B6" w:rsidRPr="00281428">
        <w:rPr>
          <w:spacing w:val="-11"/>
        </w:rPr>
        <w:t xml:space="preserve"> </w:t>
      </w:r>
      <w:r w:rsidR="00D335B6" w:rsidRPr="00281428">
        <w:t>a</w:t>
      </w:r>
      <w:r w:rsidR="00D335B6" w:rsidRPr="00281428">
        <w:rPr>
          <w:spacing w:val="-8"/>
        </w:rPr>
        <w:t xml:space="preserve"> </w:t>
      </w:r>
      <w:r w:rsidR="00D335B6" w:rsidRPr="00281428">
        <w:t>word</w:t>
      </w:r>
      <w:r w:rsidR="00D335B6" w:rsidRPr="00281428">
        <w:rPr>
          <w:spacing w:val="-10"/>
        </w:rPr>
        <w:t xml:space="preserve"> </w:t>
      </w:r>
      <w:r w:rsidR="00D335B6" w:rsidRPr="00281428">
        <w:t>missing</w:t>
      </w:r>
      <w:r w:rsidR="00D335B6" w:rsidRPr="00281428">
        <w:rPr>
          <w:spacing w:val="-10"/>
        </w:rPr>
        <w:t xml:space="preserve"> </w:t>
      </w:r>
      <w:r w:rsidR="00D335B6" w:rsidRPr="00281428">
        <w:t>between</w:t>
      </w:r>
      <w:r w:rsidR="00D335B6" w:rsidRPr="00281428">
        <w:rPr>
          <w:spacing w:val="-8"/>
        </w:rPr>
        <w:t xml:space="preserve"> </w:t>
      </w:r>
      <w:r w:rsidR="00D335B6" w:rsidRPr="00281428">
        <w:t>the</w:t>
      </w:r>
      <w:r w:rsidR="00D335B6" w:rsidRPr="00281428">
        <w:rPr>
          <w:spacing w:val="-10"/>
        </w:rPr>
        <w:t xml:space="preserve"> </w:t>
      </w:r>
      <w:r w:rsidR="00D335B6" w:rsidRPr="00281428">
        <w:t>word</w:t>
      </w:r>
      <w:r w:rsidR="00D335B6" w:rsidRPr="00281428">
        <w:rPr>
          <w:spacing w:val="-9"/>
        </w:rPr>
        <w:t xml:space="preserve"> </w:t>
      </w:r>
      <w:r w:rsidR="00D335B6" w:rsidRPr="00281428">
        <w:t>“of”</w:t>
      </w:r>
      <w:r w:rsidR="00D335B6" w:rsidRPr="00281428">
        <w:rPr>
          <w:spacing w:val="-10"/>
        </w:rPr>
        <w:t xml:space="preserve"> </w:t>
      </w:r>
      <w:r w:rsidR="00D335B6" w:rsidRPr="00281428">
        <w:t>and</w:t>
      </w:r>
      <w:r w:rsidR="00D335B6" w:rsidRPr="00281428">
        <w:rPr>
          <w:spacing w:val="-10"/>
        </w:rPr>
        <w:t xml:space="preserve"> </w:t>
      </w:r>
      <w:r w:rsidR="00D335B6" w:rsidRPr="00281428">
        <w:t>“thickness” there should be a verb. Ms. Warfield checked and indicated the word “measuring” should be inserted. Based on comments heard during the open hearing, the Committee believes the item should remain as a Developing</w:t>
      </w:r>
      <w:r w:rsidR="00D335B6" w:rsidRPr="00281428">
        <w:rPr>
          <w:spacing w:val="-12"/>
        </w:rPr>
        <w:t xml:space="preserve"> </w:t>
      </w:r>
      <w:r w:rsidR="00D335B6" w:rsidRPr="00281428">
        <w:t>item</w:t>
      </w:r>
      <w:r w:rsidR="00C668E1" w:rsidRPr="00281428">
        <w:t>.</w:t>
      </w:r>
    </w:p>
    <w:p w14:paraId="453E0A26" w14:textId="1D5A5596" w:rsidR="00C668E1" w:rsidRPr="00281428" w:rsidRDefault="00C668E1" w:rsidP="002F0196">
      <w:r w:rsidRPr="00281428">
        <w:t xml:space="preserve">Additional letters, presentation and data may have been submitted for consideration with this item. Please refer to </w:t>
      </w:r>
      <w:hyperlink r:id="rId41" w:history="1">
        <w:r w:rsidR="00211511" w:rsidRPr="00A766AF">
          <w:rPr>
            <w:rStyle w:val="Hyperlink"/>
            <w:noProof w:val="0"/>
            <w:color w:val="0000FF"/>
          </w:rPr>
          <w:t>https://www.ncwm.com/publication-16</w:t>
        </w:r>
      </w:hyperlink>
      <w:r w:rsidRPr="00281428">
        <w:t xml:space="preserve"> to review these documents.</w:t>
      </w:r>
      <w:bookmarkEnd w:id="306"/>
    </w:p>
    <w:p w14:paraId="597ED629" w14:textId="77777777" w:rsidR="00C039A0" w:rsidRPr="00281428" w:rsidRDefault="00C039A0" w:rsidP="002F0196">
      <w:pPr>
        <w:pStyle w:val="Heading1"/>
        <w:keepNext w:val="0"/>
        <w:keepLines w:val="0"/>
      </w:pPr>
      <w:bookmarkStart w:id="324" w:name="_Toc65741460"/>
      <w:r w:rsidRPr="00281428">
        <w:t>OTH – OTHER ITEMS</w:t>
      </w:r>
      <w:bookmarkEnd w:id="324"/>
      <w:r w:rsidRPr="00281428">
        <w:t xml:space="preserve"> </w:t>
      </w:r>
    </w:p>
    <w:p w14:paraId="71EABED4" w14:textId="09B55F0E" w:rsidR="00AE3A51" w:rsidRPr="00281428" w:rsidRDefault="00AE3A51" w:rsidP="002F0196">
      <w:pPr>
        <w:pStyle w:val="ItemHeading"/>
        <w:keepNext w:val="0"/>
        <w:keepLines w:val="0"/>
      </w:pPr>
      <w:bookmarkStart w:id="325" w:name="_Toc65741461"/>
      <w:r w:rsidRPr="00281428">
        <w:t>OTH-</w:t>
      </w:r>
      <w:r w:rsidR="00B841BE" w:rsidRPr="00281428">
        <w:t>07.</w:t>
      </w:r>
      <w:r w:rsidRPr="00281428">
        <w:t>1</w:t>
      </w:r>
      <w:r w:rsidRPr="00281428">
        <w:tab/>
        <w:t>D</w:t>
      </w:r>
      <w:r w:rsidRPr="00281428">
        <w:tab/>
        <w:t>Fuels and Lubricants Subcommittee</w:t>
      </w:r>
      <w:bookmarkEnd w:id="325"/>
    </w:p>
    <w:p w14:paraId="55A7C659" w14:textId="77777777" w:rsidR="00AE3A51" w:rsidRPr="00281428" w:rsidRDefault="00AE3A51">
      <w:pPr>
        <w:pStyle w:val="BoldHeading"/>
      </w:pPr>
      <w:r w:rsidRPr="00281428">
        <w:t xml:space="preserve">Source:  </w:t>
      </w:r>
    </w:p>
    <w:p w14:paraId="20711D93" w14:textId="6A06BB04" w:rsidR="00AE3A51" w:rsidRPr="00281428" w:rsidRDefault="00621147">
      <w:r w:rsidRPr="00281428">
        <w:t>NCWM</w:t>
      </w:r>
      <w:r w:rsidR="00AE3A51" w:rsidRPr="00281428">
        <w:t xml:space="preserve"> Fuels and Lubricants Subcommittee</w:t>
      </w:r>
      <w:r w:rsidR="00701E53" w:rsidRPr="00281428">
        <w:t xml:space="preserve"> (FALS)</w:t>
      </w:r>
    </w:p>
    <w:p w14:paraId="2E8850B1" w14:textId="77777777" w:rsidR="00AE3A51" w:rsidRPr="00281428" w:rsidRDefault="00AE3A51" w:rsidP="002F0196">
      <w:pPr>
        <w:pStyle w:val="BoldHeading"/>
        <w:rPr>
          <w:b w:val="0"/>
        </w:rPr>
      </w:pPr>
      <w:r w:rsidRPr="00281428">
        <w:t xml:space="preserve">Purpose: </w:t>
      </w:r>
    </w:p>
    <w:p w14:paraId="57B81EB8" w14:textId="32F90453" w:rsidR="000540E4" w:rsidRPr="00281428" w:rsidRDefault="000540E4">
      <w:r w:rsidRPr="00281428">
        <w:t xml:space="preserve">Provide an update of the activities of this Subcommittee which works on direction from and reports to the L&amp;R Committee. </w:t>
      </w:r>
      <w:r w:rsidR="00211511">
        <w:t xml:space="preserve"> </w:t>
      </w:r>
      <w:r w:rsidRPr="00281428">
        <w:t>The mission of FALS is to assist the L&amp;R Committee in the development of agenda items that affect Handbook 130</w:t>
      </w:r>
      <w:r w:rsidR="00106AB5" w:rsidRPr="00281428">
        <w:t xml:space="preserve">, </w:t>
      </w:r>
      <w:r w:rsidRPr="00281428">
        <w:t>Uniform Fuels and Automotive Lubricants Inspection Law and Uniform Fuels and Automotive Lubricants Regulation.</w:t>
      </w:r>
      <w:r w:rsidR="00106AB5" w:rsidRPr="00281428">
        <w:t xml:space="preserve"> </w:t>
      </w:r>
      <w:r w:rsidRPr="00281428">
        <w:t xml:space="preserve"> The Subcommittee consists of regulators and associate members who have subject matter expertise </w:t>
      </w:r>
      <w:proofErr w:type="gramStart"/>
      <w:r w:rsidRPr="00281428">
        <w:t>in the area of</w:t>
      </w:r>
      <w:proofErr w:type="gramEnd"/>
      <w:r w:rsidRPr="00281428">
        <w:t xml:space="preserve"> fuels and lubricants.  The Subcommittee will be called upon to aid in the development, provide guidance, and help establish NCWM position on items concerning fuels and lubricants.  </w:t>
      </w:r>
    </w:p>
    <w:p w14:paraId="2BD6B0D7" w14:textId="77777777" w:rsidR="00AE3A51" w:rsidRPr="00281428" w:rsidRDefault="00AE3A51" w:rsidP="002F0196">
      <w:pPr>
        <w:pStyle w:val="BoldHeading"/>
      </w:pPr>
      <w:r w:rsidRPr="00281428">
        <w:t xml:space="preserve">Item </w:t>
      </w:r>
      <w:r w:rsidR="007F08D7" w:rsidRPr="00281428">
        <w:t>U</w:t>
      </w:r>
      <w:r w:rsidRPr="00281428">
        <w:t xml:space="preserve">nder Consideration:  </w:t>
      </w:r>
    </w:p>
    <w:p w14:paraId="664AE9AA" w14:textId="0BDC685B" w:rsidR="00AE3A51" w:rsidRPr="00281428" w:rsidRDefault="00C96A77">
      <w:r w:rsidRPr="00281428">
        <w:t>Not Applicable</w:t>
      </w:r>
      <w:r w:rsidR="003E2339" w:rsidRPr="00281428">
        <w:t>.</w:t>
      </w:r>
    </w:p>
    <w:p w14:paraId="5ED0FE11" w14:textId="062ACF2B" w:rsidR="00C96A77" w:rsidRPr="00281428" w:rsidRDefault="00C96A77" w:rsidP="002F0196">
      <w:pPr>
        <w:autoSpaceDE w:val="0"/>
        <w:autoSpaceDN w:val="0"/>
        <w:adjustRightInd w:val="0"/>
        <w:spacing w:after="0"/>
        <w:rPr>
          <w:b/>
          <w:bCs/>
          <w:szCs w:val="20"/>
        </w:rPr>
      </w:pPr>
      <w:r w:rsidRPr="00281428">
        <w:rPr>
          <w:b/>
          <w:bCs/>
          <w:szCs w:val="20"/>
        </w:rPr>
        <w:t xml:space="preserve">Background/Discussion: </w:t>
      </w:r>
    </w:p>
    <w:p w14:paraId="1D9CA0B4" w14:textId="6BD15056" w:rsidR="001C428A" w:rsidRPr="00281428" w:rsidRDefault="00C96A77" w:rsidP="002F0196">
      <w:pPr>
        <w:pStyle w:val="BoldHeading"/>
        <w:spacing w:after="240"/>
        <w:rPr>
          <w:b w:val="0"/>
        </w:rPr>
      </w:pPr>
      <w:r w:rsidRPr="00281428">
        <w:rPr>
          <w:b w:val="0"/>
        </w:rPr>
        <w:t xml:space="preserve">This item is to provide a report on the activities of the Fuels and Lubricants Subcommittee </w:t>
      </w:r>
      <w:r w:rsidR="000E4B8E" w:rsidRPr="00281428">
        <w:rPr>
          <w:b w:val="0"/>
        </w:rPr>
        <w:t xml:space="preserve">(FALS) </w:t>
      </w:r>
      <w:r w:rsidRPr="00281428">
        <w:rPr>
          <w:b w:val="0"/>
        </w:rPr>
        <w:t xml:space="preserve">which reports and provides recommendations to the Laws and Regulations Committee.  </w:t>
      </w:r>
    </w:p>
    <w:p w14:paraId="65691CC8" w14:textId="176CFA71" w:rsidR="00C96A77" w:rsidRPr="00281428" w:rsidRDefault="00C96A77" w:rsidP="002F0196">
      <w:pPr>
        <w:pStyle w:val="BoldHeading"/>
        <w:spacing w:after="240"/>
        <w:rPr>
          <w:b w:val="0"/>
        </w:rPr>
      </w:pPr>
      <w:r w:rsidRPr="00281428">
        <w:rPr>
          <w:b w:val="0"/>
        </w:rPr>
        <w:t>For more information or to provide comment, please contact</w:t>
      </w:r>
      <w:r w:rsidR="001C428A" w:rsidRPr="00281428">
        <w:rPr>
          <w:b w:val="0"/>
        </w:rPr>
        <w:t xml:space="preserve"> the FALS Chair</w:t>
      </w:r>
      <w:r w:rsidRPr="00281428">
        <w:rPr>
          <w:b w:val="0"/>
        </w:rPr>
        <w:t>:</w:t>
      </w:r>
    </w:p>
    <w:p w14:paraId="0C82205E" w14:textId="54BCF41E" w:rsidR="00C96A77" w:rsidRPr="00281428" w:rsidRDefault="00C96A77" w:rsidP="00281761">
      <w:pPr>
        <w:pStyle w:val="BoldHeading"/>
        <w:ind w:left="720"/>
        <w:rPr>
          <w:b w:val="0"/>
        </w:rPr>
      </w:pPr>
      <w:r w:rsidRPr="00281428">
        <w:rPr>
          <w:b w:val="0"/>
        </w:rPr>
        <w:t>Mr. Bill Striejewske</w:t>
      </w:r>
      <w:r w:rsidR="001A7AA3">
        <w:rPr>
          <w:b w:val="0"/>
        </w:rPr>
        <w:t>, FALS Chair</w:t>
      </w:r>
    </w:p>
    <w:p w14:paraId="7720655A" w14:textId="77777777" w:rsidR="00C96A77" w:rsidRPr="00281428" w:rsidRDefault="00C96A77" w:rsidP="00281761">
      <w:pPr>
        <w:pStyle w:val="BoldHeading"/>
        <w:ind w:left="720"/>
        <w:rPr>
          <w:b w:val="0"/>
        </w:rPr>
      </w:pPr>
      <w:r w:rsidRPr="00281428">
        <w:rPr>
          <w:b w:val="0"/>
        </w:rPr>
        <w:t>Nevada Department of Agriculture/Bureau of Petroleum Technology</w:t>
      </w:r>
    </w:p>
    <w:p w14:paraId="30DD182B" w14:textId="1F5610CF" w:rsidR="00C96A77" w:rsidRPr="00281428" w:rsidRDefault="00C96A77" w:rsidP="00281761">
      <w:pPr>
        <w:pStyle w:val="BoldHeading"/>
        <w:spacing w:after="200"/>
        <w:ind w:left="720"/>
        <w:rPr>
          <w:rFonts w:ascii="Times New Roman Bold" w:hAnsi="Times New Roman Bold"/>
        </w:rPr>
      </w:pPr>
      <w:r w:rsidRPr="00281428">
        <w:rPr>
          <w:b w:val="0"/>
        </w:rPr>
        <w:t xml:space="preserve">775-353-3792, </w:t>
      </w:r>
      <w:hyperlink r:id="rId42" w:history="1">
        <w:r w:rsidR="00C7744F" w:rsidRPr="00C7744F">
          <w:rPr>
            <w:rStyle w:val="Hyperlink"/>
            <w:b w:val="0"/>
            <w:bCs/>
            <w:noProof w:val="0"/>
            <w:color w:val="0000FF"/>
            <w:szCs w:val="20"/>
          </w:rPr>
          <w:t>wstriejewske@agri.state.nv.us</w:t>
        </w:r>
      </w:hyperlink>
      <w:r w:rsidR="005E5636" w:rsidRPr="00281428">
        <w:rPr>
          <w:rFonts w:ascii="Times New Roman Bold" w:hAnsi="Times New Roman Bold"/>
          <w:bCs/>
        </w:rPr>
        <w:t xml:space="preserve"> </w:t>
      </w:r>
    </w:p>
    <w:p w14:paraId="5869306D" w14:textId="064883C8" w:rsidR="000E4B8E" w:rsidRPr="00281428" w:rsidRDefault="000E4B8E" w:rsidP="002F0196">
      <w:pPr>
        <w:autoSpaceDE w:val="0"/>
        <w:autoSpaceDN w:val="0"/>
        <w:adjustRightInd w:val="0"/>
        <w:rPr>
          <w:szCs w:val="20"/>
        </w:rPr>
      </w:pPr>
      <w:bookmarkStart w:id="326" w:name="_Hlk61552027"/>
      <w:r w:rsidRPr="00281428">
        <w:rPr>
          <w:szCs w:val="20"/>
        </w:rPr>
        <w:t xml:space="preserve">Due to ongoing travel restrictions due to the COVID-19 pandemic, FALS met virtually </w:t>
      </w:r>
      <w:r w:rsidR="002B7F4F" w:rsidRPr="00281428">
        <w:rPr>
          <w:szCs w:val="20"/>
        </w:rPr>
        <w:t xml:space="preserve">at the 2021 NCWM Meeting </w:t>
      </w:r>
      <w:r w:rsidRPr="00281428">
        <w:rPr>
          <w:szCs w:val="20"/>
        </w:rPr>
        <w:t xml:space="preserve">on Sunday, January 10, 2021, to review items related to fuel and automotive fluid standards that appear on the L&amp;R </w:t>
      </w:r>
      <w:r w:rsidR="002B7F4F" w:rsidRPr="00281428">
        <w:rPr>
          <w:szCs w:val="20"/>
        </w:rPr>
        <w:lastRenderedPageBreak/>
        <w:t>a</w:t>
      </w:r>
      <w:r w:rsidRPr="00281428">
        <w:rPr>
          <w:szCs w:val="20"/>
        </w:rPr>
        <w:t xml:space="preserve">genda. </w:t>
      </w:r>
      <w:r w:rsidR="002B7F4F" w:rsidRPr="00281428">
        <w:rPr>
          <w:szCs w:val="20"/>
        </w:rPr>
        <w:t xml:space="preserve"> FALS</w:t>
      </w:r>
      <w:r w:rsidRPr="00281428">
        <w:rPr>
          <w:szCs w:val="20"/>
        </w:rPr>
        <w:t xml:space="preserve"> discussed those items that have been assigned to </w:t>
      </w:r>
      <w:r w:rsidR="002B7F4F" w:rsidRPr="00281428">
        <w:rPr>
          <w:szCs w:val="20"/>
        </w:rPr>
        <w:t>them</w:t>
      </w:r>
      <w:r w:rsidRPr="00281428">
        <w:rPr>
          <w:szCs w:val="20"/>
        </w:rPr>
        <w:t xml:space="preserve">. </w:t>
      </w:r>
      <w:r w:rsidR="002B7F4F" w:rsidRPr="00281428">
        <w:rPr>
          <w:szCs w:val="20"/>
        </w:rPr>
        <w:t xml:space="preserve"> </w:t>
      </w:r>
      <w:r w:rsidRPr="00281428">
        <w:rPr>
          <w:szCs w:val="20"/>
        </w:rPr>
        <w:t xml:space="preserve">As such, there was discussion of one block of four items related to the 2019 EPA Final Rule concerning E15. </w:t>
      </w:r>
      <w:r w:rsidR="002B7F4F" w:rsidRPr="00281428">
        <w:rPr>
          <w:szCs w:val="20"/>
        </w:rPr>
        <w:t xml:space="preserve"> </w:t>
      </w:r>
      <w:r w:rsidRPr="00281428">
        <w:rPr>
          <w:szCs w:val="20"/>
        </w:rPr>
        <w:t xml:space="preserve">There were also updates on two existing focus groups, including one working on a FALS </w:t>
      </w:r>
      <w:r w:rsidR="002B7F4F" w:rsidRPr="00281428">
        <w:rPr>
          <w:szCs w:val="20"/>
        </w:rPr>
        <w:t>C</w:t>
      </w:r>
      <w:r w:rsidRPr="00281428">
        <w:rPr>
          <w:szCs w:val="20"/>
        </w:rPr>
        <w:t xml:space="preserve">ommittee operations document. </w:t>
      </w:r>
      <w:r w:rsidR="002B7F4F" w:rsidRPr="00281428">
        <w:rPr>
          <w:szCs w:val="20"/>
        </w:rPr>
        <w:t xml:space="preserve"> </w:t>
      </w:r>
      <w:r w:rsidRPr="00281428">
        <w:rPr>
          <w:szCs w:val="20"/>
        </w:rPr>
        <w:t xml:space="preserve">There were two presentations given, one on new Item Block 6 </w:t>
      </w:r>
      <w:r w:rsidR="002B7F4F" w:rsidRPr="00281428">
        <w:rPr>
          <w:szCs w:val="20"/>
        </w:rPr>
        <w:t>L</w:t>
      </w:r>
      <w:r w:rsidRPr="00281428">
        <w:rPr>
          <w:szCs w:val="20"/>
        </w:rPr>
        <w:t xml:space="preserve">abeling of </w:t>
      </w:r>
      <w:r w:rsidR="002B7F4F" w:rsidRPr="00281428">
        <w:rPr>
          <w:szCs w:val="20"/>
        </w:rPr>
        <w:t>T</w:t>
      </w:r>
      <w:r w:rsidRPr="00281428">
        <w:rPr>
          <w:szCs w:val="20"/>
        </w:rPr>
        <w:t xml:space="preserve">ransmission </w:t>
      </w:r>
      <w:r w:rsidR="002B7F4F" w:rsidRPr="00281428">
        <w:rPr>
          <w:szCs w:val="20"/>
        </w:rPr>
        <w:t>F</w:t>
      </w:r>
      <w:r w:rsidRPr="00281428">
        <w:rPr>
          <w:szCs w:val="20"/>
        </w:rPr>
        <w:t xml:space="preserve">luid and the other on the recently finalized EPA Streamlining Rule. </w:t>
      </w:r>
      <w:r w:rsidR="002B7F4F" w:rsidRPr="00281428">
        <w:rPr>
          <w:szCs w:val="20"/>
        </w:rPr>
        <w:t xml:space="preserve"> </w:t>
      </w:r>
      <w:r w:rsidRPr="00281428">
        <w:rPr>
          <w:szCs w:val="20"/>
        </w:rPr>
        <w:t xml:space="preserve">Focus groups were formed to work on each of these items. </w:t>
      </w:r>
      <w:r w:rsidR="002B7F4F" w:rsidRPr="00281428">
        <w:rPr>
          <w:szCs w:val="20"/>
        </w:rPr>
        <w:t xml:space="preserve"> </w:t>
      </w:r>
      <w:r w:rsidRPr="00281428">
        <w:rPr>
          <w:szCs w:val="20"/>
        </w:rPr>
        <w:t xml:space="preserve">The following is </w:t>
      </w:r>
      <w:proofErr w:type="gramStart"/>
      <w:r w:rsidRPr="00281428">
        <w:rPr>
          <w:szCs w:val="20"/>
        </w:rPr>
        <w:t>a brief summary</w:t>
      </w:r>
      <w:proofErr w:type="gramEnd"/>
      <w:r w:rsidRPr="00281428">
        <w:rPr>
          <w:szCs w:val="20"/>
        </w:rPr>
        <w:t xml:space="preserve"> of the items mentioned above.</w:t>
      </w:r>
    </w:p>
    <w:p w14:paraId="2C34234F" w14:textId="4E7B310B" w:rsidR="000E4B8E" w:rsidRPr="00281428" w:rsidRDefault="000E4B8E" w:rsidP="00655343">
      <w:pPr>
        <w:rPr>
          <w:bCs/>
          <w:szCs w:val="20"/>
        </w:rPr>
      </w:pPr>
      <w:r w:rsidRPr="00281428">
        <w:rPr>
          <w:b/>
          <w:szCs w:val="20"/>
        </w:rPr>
        <w:t>Update on EPA Rule Change Focus Group:</w:t>
      </w:r>
      <w:r w:rsidRPr="00281428">
        <w:rPr>
          <w:szCs w:val="20"/>
        </w:rPr>
        <w:t xml:space="preserve"> </w:t>
      </w:r>
      <w:r w:rsidR="002B7F4F" w:rsidRPr="00281428">
        <w:rPr>
          <w:szCs w:val="20"/>
        </w:rPr>
        <w:t xml:space="preserve"> </w:t>
      </w:r>
      <w:r w:rsidRPr="00281428">
        <w:rPr>
          <w:szCs w:val="20"/>
        </w:rPr>
        <w:t xml:space="preserve">At the 2019 NCWM Annual Meeting the L&amp;R Committee tasked the FALS to review regulations under </w:t>
      </w:r>
      <w:hyperlink r:id="rId43" w:history="1">
        <w:r w:rsidRPr="00281428">
          <w:rPr>
            <w:szCs w:val="20"/>
          </w:rPr>
          <w:t>40 CFR 80.20</w:t>
        </w:r>
      </w:hyperlink>
      <w:r w:rsidRPr="00281428">
        <w:rPr>
          <w:szCs w:val="20"/>
        </w:rPr>
        <w:t xml:space="preserve"> to ensure there are no conflicts within Handbook 130</w:t>
      </w:r>
      <w:r w:rsidR="002B7F4F" w:rsidRPr="00281428">
        <w:rPr>
          <w:szCs w:val="20"/>
        </w:rPr>
        <w:t xml:space="preserve">, </w:t>
      </w:r>
      <w:r w:rsidRPr="00281428">
        <w:rPr>
          <w:szCs w:val="20"/>
        </w:rPr>
        <w:t xml:space="preserve">Fuels and Automotive Lubricants Regulations. </w:t>
      </w:r>
      <w:r w:rsidR="002B7F4F" w:rsidRPr="00281428">
        <w:rPr>
          <w:szCs w:val="20"/>
        </w:rPr>
        <w:t xml:space="preserve"> </w:t>
      </w:r>
      <w:r w:rsidRPr="00281428">
        <w:rPr>
          <w:szCs w:val="20"/>
        </w:rPr>
        <w:t>Focus Group Chair</w:t>
      </w:r>
      <w:r w:rsidR="009E60C2">
        <w:rPr>
          <w:szCs w:val="20"/>
        </w:rPr>
        <w:t>,</w:t>
      </w:r>
      <w:r w:rsidR="00FB12DA">
        <w:rPr>
          <w:szCs w:val="20"/>
        </w:rPr>
        <w:t xml:space="preserve"> Mr. Bill </w:t>
      </w:r>
      <w:r w:rsidRPr="00281428">
        <w:rPr>
          <w:szCs w:val="20"/>
        </w:rPr>
        <w:t>Striejewske</w:t>
      </w:r>
      <w:r w:rsidR="009E60C2">
        <w:rPr>
          <w:szCs w:val="20"/>
        </w:rPr>
        <w:t xml:space="preserve"> (NV)</w:t>
      </w:r>
      <w:r w:rsidRPr="00281428">
        <w:rPr>
          <w:szCs w:val="20"/>
        </w:rPr>
        <w:t xml:space="preserve"> stated that he had allowed the focus group to </w:t>
      </w:r>
      <w:r w:rsidRPr="00281428">
        <w:rPr>
          <w:bCs/>
          <w:szCs w:val="20"/>
        </w:rPr>
        <w:t>become</w:t>
      </w:r>
      <w:r w:rsidRPr="00281428">
        <w:rPr>
          <w:b/>
          <w:szCs w:val="20"/>
        </w:rPr>
        <w:t xml:space="preserve"> </w:t>
      </w:r>
      <w:r w:rsidRPr="00281428">
        <w:rPr>
          <w:bCs/>
          <w:szCs w:val="20"/>
        </w:rPr>
        <w:t xml:space="preserve">dormant before they had completed their task. </w:t>
      </w:r>
      <w:r w:rsidR="002B7F4F" w:rsidRPr="00281428">
        <w:rPr>
          <w:bCs/>
          <w:szCs w:val="20"/>
        </w:rPr>
        <w:t xml:space="preserve"> </w:t>
      </w:r>
      <w:r w:rsidRPr="00281428">
        <w:rPr>
          <w:bCs/>
          <w:szCs w:val="20"/>
        </w:rPr>
        <w:t xml:space="preserve">Earlier in the meeting, </w:t>
      </w:r>
      <w:r w:rsidR="002B7F4F" w:rsidRPr="00281428">
        <w:rPr>
          <w:bCs/>
          <w:szCs w:val="20"/>
        </w:rPr>
        <w:t xml:space="preserve">Mr. </w:t>
      </w:r>
      <w:r w:rsidRPr="00281428">
        <w:rPr>
          <w:bCs/>
          <w:szCs w:val="20"/>
        </w:rPr>
        <w:t>Prentiss Searles (API</w:t>
      </w:r>
      <w:r w:rsidR="009E60C2">
        <w:rPr>
          <w:bCs/>
          <w:szCs w:val="20"/>
        </w:rPr>
        <w:t xml:space="preserve">, </w:t>
      </w:r>
      <w:r w:rsidR="002B7F4F" w:rsidRPr="00281428">
        <w:rPr>
          <w:bCs/>
          <w:szCs w:val="20"/>
        </w:rPr>
        <w:t>submitter of Block 4 within 2021 NCWM L&amp;R Agenda</w:t>
      </w:r>
      <w:r w:rsidRPr="00281428">
        <w:rPr>
          <w:bCs/>
          <w:szCs w:val="20"/>
        </w:rPr>
        <w:t>)</w:t>
      </w:r>
      <w:r w:rsidR="002B7F4F" w:rsidRPr="00281428">
        <w:rPr>
          <w:bCs/>
          <w:szCs w:val="20"/>
        </w:rPr>
        <w:t xml:space="preserve"> requested the entire Block 4 item</w:t>
      </w:r>
      <w:r w:rsidRPr="00281428">
        <w:rPr>
          <w:bCs/>
          <w:szCs w:val="20"/>
        </w:rPr>
        <w:t xml:space="preserve"> be withdrawn</w:t>
      </w:r>
      <w:r w:rsidR="002B7F4F" w:rsidRPr="00281428">
        <w:rPr>
          <w:bCs/>
          <w:szCs w:val="20"/>
        </w:rPr>
        <w:t xml:space="preserve">.  Mr. Searles stated it needs </w:t>
      </w:r>
      <w:r w:rsidRPr="00281428">
        <w:rPr>
          <w:bCs/>
          <w:szCs w:val="20"/>
        </w:rPr>
        <w:t xml:space="preserve">to be reviewed and further </w:t>
      </w:r>
      <w:proofErr w:type="gramStart"/>
      <w:r w:rsidRPr="00281428">
        <w:rPr>
          <w:bCs/>
          <w:szCs w:val="20"/>
        </w:rPr>
        <w:t>developed</w:t>
      </w:r>
      <w:proofErr w:type="gramEnd"/>
      <w:r w:rsidRPr="00281428">
        <w:rPr>
          <w:bCs/>
          <w:szCs w:val="20"/>
        </w:rPr>
        <w:t xml:space="preserve"> as necessary. </w:t>
      </w:r>
      <w:r w:rsidR="002B7F4F" w:rsidRPr="00281428">
        <w:rPr>
          <w:bCs/>
          <w:szCs w:val="20"/>
        </w:rPr>
        <w:t xml:space="preserve"> </w:t>
      </w:r>
      <w:r w:rsidRPr="00281428">
        <w:rPr>
          <w:bCs/>
          <w:szCs w:val="20"/>
        </w:rPr>
        <w:t xml:space="preserve">There was also discussion that it appeared that the original request from the L&amp;R </w:t>
      </w:r>
      <w:r w:rsidR="002B7F4F" w:rsidRPr="00281428">
        <w:rPr>
          <w:bCs/>
          <w:szCs w:val="20"/>
        </w:rPr>
        <w:t>C</w:t>
      </w:r>
      <w:r w:rsidRPr="00281428">
        <w:rPr>
          <w:bCs/>
          <w:szCs w:val="20"/>
        </w:rPr>
        <w:t xml:space="preserve">ommittee and the work to continuing developing Block 4 </w:t>
      </w:r>
      <w:r w:rsidR="002B7F4F" w:rsidRPr="00281428">
        <w:rPr>
          <w:bCs/>
          <w:szCs w:val="20"/>
        </w:rPr>
        <w:t xml:space="preserve">Items </w:t>
      </w:r>
      <w:r w:rsidRPr="00281428">
        <w:rPr>
          <w:bCs/>
          <w:szCs w:val="20"/>
        </w:rPr>
        <w:t xml:space="preserve">are related. </w:t>
      </w:r>
      <w:r w:rsidR="002B7F4F" w:rsidRPr="00281428">
        <w:rPr>
          <w:bCs/>
          <w:szCs w:val="20"/>
        </w:rPr>
        <w:t xml:space="preserve"> </w:t>
      </w:r>
      <w:r w:rsidRPr="00281428">
        <w:rPr>
          <w:bCs/>
          <w:szCs w:val="20"/>
        </w:rPr>
        <w:t>Mr. Searles agreed to take over as chair of th</w:t>
      </w:r>
      <w:r w:rsidR="002B7F4F" w:rsidRPr="00281428">
        <w:rPr>
          <w:bCs/>
          <w:szCs w:val="20"/>
        </w:rPr>
        <w:t>is Focus Group</w:t>
      </w:r>
      <w:r w:rsidRPr="00281428">
        <w:rPr>
          <w:bCs/>
          <w:szCs w:val="20"/>
        </w:rPr>
        <w:t xml:space="preserve">. </w:t>
      </w:r>
      <w:r w:rsidR="002B7F4F" w:rsidRPr="00281428">
        <w:rPr>
          <w:bCs/>
          <w:szCs w:val="20"/>
        </w:rPr>
        <w:t xml:space="preserve"> </w:t>
      </w:r>
      <w:r w:rsidRPr="00281428">
        <w:rPr>
          <w:bCs/>
          <w:szCs w:val="20"/>
        </w:rPr>
        <w:t xml:space="preserve">After review of the items in Block 4, the focus group </w:t>
      </w:r>
      <w:r w:rsidR="002B7F4F" w:rsidRPr="00281428">
        <w:rPr>
          <w:bCs/>
          <w:szCs w:val="20"/>
        </w:rPr>
        <w:t>will</w:t>
      </w:r>
      <w:r w:rsidRPr="00281428">
        <w:rPr>
          <w:bCs/>
          <w:szCs w:val="20"/>
        </w:rPr>
        <w:t xml:space="preserve"> further examine the EPA Final Rule to identify any other issues relevant to Handbook 130</w:t>
      </w:r>
      <w:r w:rsidR="002B7F4F" w:rsidRPr="00281428">
        <w:rPr>
          <w:bCs/>
          <w:szCs w:val="20"/>
        </w:rPr>
        <w:t>.</w:t>
      </w:r>
      <w:r w:rsidRPr="00281428">
        <w:rPr>
          <w:bCs/>
          <w:szCs w:val="20"/>
        </w:rPr>
        <w:t xml:space="preserve"> </w:t>
      </w:r>
    </w:p>
    <w:p w14:paraId="673B64D7" w14:textId="79CD58F8" w:rsidR="000E4B8E" w:rsidRPr="00281428" w:rsidRDefault="000E4B8E" w:rsidP="002F0196">
      <w:pPr>
        <w:autoSpaceDE w:val="0"/>
        <w:autoSpaceDN w:val="0"/>
        <w:adjustRightInd w:val="0"/>
        <w:rPr>
          <w:szCs w:val="20"/>
        </w:rPr>
      </w:pPr>
      <w:r w:rsidRPr="00281428">
        <w:rPr>
          <w:b/>
          <w:szCs w:val="20"/>
        </w:rPr>
        <w:t>FALS structure discussions and Focus Group:</w:t>
      </w:r>
      <w:r w:rsidRPr="00281428">
        <w:rPr>
          <w:szCs w:val="20"/>
        </w:rPr>
        <w:t xml:space="preserve"> </w:t>
      </w:r>
      <w:r w:rsidR="002B7F4F" w:rsidRPr="00281428">
        <w:rPr>
          <w:szCs w:val="20"/>
        </w:rPr>
        <w:t xml:space="preserve"> </w:t>
      </w:r>
      <w:r w:rsidRPr="00281428">
        <w:rPr>
          <w:szCs w:val="20"/>
        </w:rPr>
        <w:t xml:space="preserve">At the 2020 NCWM Interim Meeting, during both the FALS </w:t>
      </w:r>
      <w:r w:rsidR="002B7F4F" w:rsidRPr="00281428">
        <w:rPr>
          <w:szCs w:val="20"/>
        </w:rPr>
        <w:t xml:space="preserve">session </w:t>
      </w:r>
      <w:r w:rsidRPr="00281428">
        <w:rPr>
          <w:szCs w:val="20"/>
        </w:rPr>
        <w:t xml:space="preserve">and the Board of Directors (BOD) open hearings, there was robust discussion about BOD </w:t>
      </w:r>
      <w:r w:rsidR="002B7F4F" w:rsidRPr="00281428">
        <w:rPr>
          <w:szCs w:val="20"/>
        </w:rPr>
        <w:t>Item</w:t>
      </w:r>
      <w:r w:rsidRPr="00281428">
        <w:rPr>
          <w:szCs w:val="20"/>
        </w:rPr>
        <w:t xml:space="preserve"> SPB-5, which would elevate FALS to </w:t>
      </w:r>
      <w:r w:rsidR="002B7F4F" w:rsidRPr="00281428">
        <w:rPr>
          <w:szCs w:val="20"/>
        </w:rPr>
        <w:t>S</w:t>
      </w:r>
      <w:r w:rsidRPr="00281428">
        <w:rPr>
          <w:szCs w:val="20"/>
        </w:rPr>
        <w:t xml:space="preserve">tanding </w:t>
      </w:r>
      <w:r w:rsidR="002B7F4F" w:rsidRPr="00281428">
        <w:rPr>
          <w:szCs w:val="20"/>
        </w:rPr>
        <w:t>C</w:t>
      </w:r>
      <w:r w:rsidRPr="00281428">
        <w:rPr>
          <w:szCs w:val="20"/>
        </w:rPr>
        <w:t xml:space="preserve">ommittee status. </w:t>
      </w:r>
      <w:r w:rsidR="002B7F4F" w:rsidRPr="00281428">
        <w:rPr>
          <w:szCs w:val="20"/>
        </w:rPr>
        <w:t xml:space="preserve"> </w:t>
      </w:r>
      <w:r w:rsidR="00C73371" w:rsidRPr="00281428">
        <w:rPr>
          <w:szCs w:val="20"/>
        </w:rPr>
        <w:t xml:space="preserve">The elevation of FALS becoming an independent standing Committee was unanimously decided against by the FALS members.  </w:t>
      </w:r>
      <w:r w:rsidRPr="00281428">
        <w:rPr>
          <w:szCs w:val="20"/>
        </w:rPr>
        <w:t xml:space="preserve">This item </w:t>
      </w:r>
      <w:r w:rsidR="00C73371" w:rsidRPr="00281428">
        <w:rPr>
          <w:szCs w:val="20"/>
        </w:rPr>
        <w:t>will address</w:t>
      </w:r>
      <w:r w:rsidRPr="00281428">
        <w:rPr>
          <w:szCs w:val="20"/>
        </w:rPr>
        <w:t xml:space="preserve"> a lack of structure and a level of systemic dysfunction within the workings of the subcommittee. </w:t>
      </w:r>
      <w:r w:rsidR="002B7F4F" w:rsidRPr="00281428">
        <w:rPr>
          <w:szCs w:val="20"/>
        </w:rPr>
        <w:t xml:space="preserve"> </w:t>
      </w:r>
      <w:r w:rsidRPr="00281428">
        <w:rPr>
          <w:szCs w:val="20"/>
        </w:rPr>
        <w:t>In the time since</w:t>
      </w:r>
      <w:r w:rsidR="002B7F4F" w:rsidRPr="00281428">
        <w:rPr>
          <w:szCs w:val="20"/>
        </w:rPr>
        <w:t>,</w:t>
      </w:r>
      <w:r w:rsidRPr="00281428">
        <w:rPr>
          <w:szCs w:val="20"/>
        </w:rPr>
        <w:t xml:space="preserve"> the Interim Meeting, FALS has held </w:t>
      </w:r>
      <w:r w:rsidR="002B7F4F" w:rsidRPr="00281428">
        <w:rPr>
          <w:szCs w:val="20"/>
        </w:rPr>
        <w:t>several</w:t>
      </w:r>
      <w:r w:rsidRPr="00281428">
        <w:rPr>
          <w:szCs w:val="20"/>
        </w:rPr>
        <w:t xml:space="preserve"> discussions based around the various issues brought up during these discussions.</w:t>
      </w:r>
      <w:r w:rsidR="002B7F4F" w:rsidRPr="00281428">
        <w:rPr>
          <w:szCs w:val="20"/>
        </w:rPr>
        <w:t xml:space="preserve"> </w:t>
      </w:r>
      <w:r w:rsidRPr="00281428">
        <w:rPr>
          <w:szCs w:val="20"/>
        </w:rPr>
        <w:t xml:space="preserve"> After </w:t>
      </w:r>
      <w:r w:rsidR="002B7F4F" w:rsidRPr="00281428">
        <w:rPr>
          <w:szCs w:val="20"/>
        </w:rPr>
        <w:t>several</w:t>
      </w:r>
      <w:r w:rsidRPr="00281428">
        <w:rPr>
          <w:szCs w:val="20"/>
        </w:rPr>
        <w:t xml:space="preserve"> productive calls and </w:t>
      </w:r>
      <w:r w:rsidR="002B7F4F" w:rsidRPr="00281428">
        <w:rPr>
          <w:szCs w:val="20"/>
        </w:rPr>
        <w:t xml:space="preserve">web conferencing </w:t>
      </w:r>
      <w:r w:rsidRPr="00281428">
        <w:rPr>
          <w:szCs w:val="20"/>
        </w:rPr>
        <w:t xml:space="preserve">meetings, a Focus Group was formed, composed of a broad range of stakeholders. </w:t>
      </w:r>
      <w:r w:rsidR="002B7F4F" w:rsidRPr="00281428">
        <w:rPr>
          <w:szCs w:val="20"/>
        </w:rPr>
        <w:t xml:space="preserve"> </w:t>
      </w:r>
      <w:r w:rsidRPr="00281428">
        <w:rPr>
          <w:szCs w:val="20"/>
        </w:rPr>
        <w:t xml:space="preserve">This group is currently working on a document of </w:t>
      </w:r>
      <w:r w:rsidR="002B7F4F" w:rsidRPr="00281428">
        <w:rPr>
          <w:szCs w:val="20"/>
        </w:rPr>
        <w:t xml:space="preserve">standard </w:t>
      </w:r>
      <w:r w:rsidRPr="00281428">
        <w:rPr>
          <w:szCs w:val="20"/>
        </w:rPr>
        <w:t xml:space="preserve">operating procedures. </w:t>
      </w:r>
      <w:r w:rsidR="002B7F4F" w:rsidRPr="00281428">
        <w:rPr>
          <w:szCs w:val="20"/>
        </w:rPr>
        <w:t xml:space="preserve"> </w:t>
      </w:r>
      <w:r w:rsidRPr="00281428">
        <w:rPr>
          <w:szCs w:val="20"/>
        </w:rPr>
        <w:t xml:space="preserve">Once completed, the document will be distributed to the </w:t>
      </w:r>
      <w:r w:rsidR="002B7F4F" w:rsidRPr="00281428">
        <w:rPr>
          <w:szCs w:val="20"/>
        </w:rPr>
        <w:t>entire</w:t>
      </w:r>
      <w:r w:rsidRPr="00281428">
        <w:rPr>
          <w:szCs w:val="20"/>
        </w:rPr>
        <w:t xml:space="preserve"> FALS membership for review and comment, then it will be submitted to the Board of Directors. </w:t>
      </w:r>
      <w:r w:rsidR="002B7F4F" w:rsidRPr="00281428">
        <w:rPr>
          <w:szCs w:val="20"/>
        </w:rPr>
        <w:t xml:space="preserve"> </w:t>
      </w:r>
      <w:r w:rsidRPr="00281428">
        <w:rPr>
          <w:szCs w:val="20"/>
        </w:rPr>
        <w:t xml:space="preserve">FALS members </w:t>
      </w:r>
      <w:r w:rsidR="002B7F4F" w:rsidRPr="00281428">
        <w:rPr>
          <w:szCs w:val="20"/>
        </w:rPr>
        <w:t>are expected to</w:t>
      </w:r>
      <w:r w:rsidRPr="00281428">
        <w:rPr>
          <w:szCs w:val="20"/>
        </w:rPr>
        <w:t xml:space="preserve"> receive the </w:t>
      </w:r>
      <w:r w:rsidR="002B7F4F" w:rsidRPr="00281428">
        <w:rPr>
          <w:szCs w:val="20"/>
        </w:rPr>
        <w:t xml:space="preserve">draft SOP </w:t>
      </w:r>
      <w:r w:rsidRPr="00281428">
        <w:rPr>
          <w:szCs w:val="20"/>
        </w:rPr>
        <w:t>document in March, and the Board prior to the Annual Meeting in July</w:t>
      </w:r>
      <w:r w:rsidR="002B7F4F" w:rsidRPr="00281428">
        <w:rPr>
          <w:szCs w:val="20"/>
        </w:rPr>
        <w:t xml:space="preserve"> 2021</w:t>
      </w:r>
    </w:p>
    <w:p w14:paraId="2EF8D62A" w14:textId="6B4283D5" w:rsidR="000E4B8E" w:rsidRPr="00281428" w:rsidRDefault="000E4B8E" w:rsidP="002F0196">
      <w:pPr>
        <w:outlineLvl w:val="1"/>
        <w:rPr>
          <w:bCs/>
          <w:szCs w:val="20"/>
        </w:rPr>
      </w:pPr>
      <w:r w:rsidRPr="00281428">
        <w:rPr>
          <w:b/>
          <w:szCs w:val="20"/>
        </w:rPr>
        <w:t>Item Block 6 Transmission Fluid Focus Group:</w:t>
      </w:r>
      <w:r w:rsidRPr="00281428">
        <w:rPr>
          <w:bCs/>
          <w:szCs w:val="20"/>
        </w:rPr>
        <w:t xml:space="preserve">  </w:t>
      </w:r>
      <w:r w:rsidR="00962FB4">
        <w:rPr>
          <w:bCs/>
          <w:szCs w:val="20"/>
        </w:rPr>
        <w:t>Ms.</w:t>
      </w:r>
      <w:r w:rsidRPr="00281428">
        <w:rPr>
          <w:bCs/>
          <w:szCs w:val="20"/>
        </w:rPr>
        <w:t xml:space="preserve"> Joanna Johnson, (on behalf of the Automotive Oil Change Association </w:t>
      </w:r>
      <w:r w:rsidR="002D1A13">
        <w:rPr>
          <w:bCs/>
          <w:szCs w:val="20"/>
        </w:rPr>
        <w:t>[</w:t>
      </w:r>
      <w:r w:rsidRPr="00281428">
        <w:rPr>
          <w:bCs/>
          <w:szCs w:val="20"/>
        </w:rPr>
        <w:t>AOCA</w:t>
      </w:r>
      <w:r w:rsidR="002D1A13">
        <w:rPr>
          <w:bCs/>
          <w:szCs w:val="20"/>
        </w:rPr>
        <w:t>]</w:t>
      </w:r>
      <w:r w:rsidRPr="00281428">
        <w:rPr>
          <w:bCs/>
          <w:szCs w:val="20"/>
        </w:rPr>
        <w:t>) expressed concern about Item Block 6 Transmission Fluid, and specifically the wording of Item FLR-21.2. Labeling and Identification of Transmission Fluid.  While supportive of the intent, AOCA believes that this block requires more work to be fully developed and to do what is intended.  Ms. Johnson has spoken at length with the submitter, who is also supportive of continuing work developing the Item Block.  Ms. Johnson has agreed to chair a Focus Group to work on the further development of this block.  There has been interest and enthusiasm for the work among a range of stakeholders.</w:t>
      </w:r>
    </w:p>
    <w:p w14:paraId="1B3CCA13" w14:textId="20B8A34D" w:rsidR="000E4B8E" w:rsidRPr="00281428" w:rsidRDefault="000E4B8E" w:rsidP="002F0196">
      <w:pPr>
        <w:outlineLvl w:val="1"/>
        <w:rPr>
          <w:szCs w:val="20"/>
        </w:rPr>
      </w:pPr>
      <w:bookmarkStart w:id="327" w:name="_Hlk63085539"/>
      <w:r w:rsidRPr="00281428">
        <w:rPr>
          <w:b/>
          <w:szCs w:val="20"/>
        </w:rPr>
        <w:t>EPA Streamlining Rule Focus Group:</w:t>
      </w:r>
      <w:r w:rsidRPr="00281428">
        <w:rPr>
          <w:szCs w:val="20"/>
        </w:rPr>
        <w:t xml:space="preserve">  After a multiyear process, the EPA Streamlining Rule was signed in late 2020.  The rule has already drawn interest within ASTM International, and Ms. Marilyn Herman (Herman &amp; Associates) related that Handbook 130 may require updating.</w:t>
      </w:r>
      <w:r w:rsidRPr="00281428">
        <w:rPr>
          <w:color w:val="FF0000"/>
          <w:szCs w:val="20"/>
        </w:rPr>
        <w:t xml:space="preserve">  </w:t>
      </w:r>
      <w:r w:rsidRPr="00281428">
        <w:rPr>
          <w:szCs w:val="20"/>
        </w:rPr>
        <w:t>While it is not yet clear the extent to which the rule may impact Handbook 130, Ms. Herman will chair a Focus Group examining the impact of the Streamlining Rule on the handbook and determine what updates may be required.</w:t>
      </w:r>
    </w:p>
    <w:bookmarkEnd w:id="327"/>
    <w:p w14:paraId="0620F2F4" w14:textId="77777777" w:rsidR="000E4B8E" w:rsidRPr="00281428" w:rsidRDefault="000E4B8E" w:rsidP="000E4B8E">
      <w:pPr>
        <w:spacing w:after="0"/>
        <w:rPr>
          <w:szCs w:val="20"/>
        </w:rPr>
      </w:pPr>
      <w:r w:rsidRPr="00281428">
        <w:rPr>
          <w:b/>
          <w:szCs w:val="20"/>
        </w:rPr>
        <w:t>Regional Association Comments:</w:t>
      </w:r>
    </w:p>
    <w:p w14:paraId="39152906" w14:textId="4AA60AD8" w:rsidR="000E4B8E" w:rsidRPr="00281428" w:rsidRDefault="000E4B8E" w:rsidP="000E4B8E">
      <w:pPr>
        <w:rPr>
          <w:szCs w:val="20"/>
          <w:u w:val="single"/>
        </w:rPr>
      </w:pPr>
      <w:r w:rsidRPr="00281428">
        <w:rPr>
          <w:szCs w:val="20"/>
          <w:u w:val="single"/>
        </w:rPr>
        <w:t xml:space="preserve">WWMA </w:t>
      </w:r>
      <w:r w:rsidR="0085505A" w:rsidRPr="00281428">
        <w:rPr>
          <w:szCs w:val="20"/>
          <w:u w:val="single"/>
        </w:rPr>
        <w:t xml:space="preserve">2019 </w:t>
      </w:r>
      <w:r w:rsidRPr="00281428">
        <w:rPr>
          <w:szCs w:val="20"/>
          <w:u w:val="single"/>
        </w:rPr>
        <w:t>Annual Meeting</w:t>
      </w:r>
      <w:r w:rsidR="00E21F41">
        <w:rPr>
          <w:szCs w:val="20"/>
          <w:u w:val="single"/>
        </w:rPr>
        <w:t>:</w:t>
      </w:r>
      <w:r w:rsidRPr="00281428">
        <w:rPr>
          <w:szCs w:val="20"/>
        </w:rPr>
        <w:t xml:space="preserve">  </w:t>
      </w:r>
      <w:r w:rsidRPr="00281428">
        <w:rPr>
          <w:rFonts w:eastAsia="Times New Roman"/>
          <w:szCs w:val="24"/>
        </w:rPr>
        <w:t>There were no updates provided.</w:t>
      </w:r>
    </w:p>
    <w:p w14:paraId="7BD38F5C" w14:textId="18BE40B8" w:rsidR="000E4B8E" w:rsidRPr="00281428" w:rsidRDefault="000E4B8E" w:rsidP="000E4B8E">
      <w:pPr>
        <w:rPr>
          <w:szCs w:val="20"/>
        </w:rPr>
      </w:pPr>
      <w:r w:rsidRPr="00281428">
        <w:rPr>
          <w:szCs w:val="20"/>
          <w:u w:val="single"/>
        </w:rPr>
        <w:t xml:space="preserve">SWMA </w:t>
      </w:r>
      <w:r w:rsidR="0085505A" w:rsidRPr="00281428">
        <w:rPr>
          <w:szCs w:val="20"/>
          <w:u w:val="single"/>
        </w:rPr>
        <w:t xml:space="preserve">2019 </w:t>
      </w:r>
      <w:r w:rsidRPr="00281428">
        <w:rPr>
          <w:szCs w:val="20"/>
          <w:u w:val="single"/>
        </w:rPr>
        <w:t>Annual Meeting:</w:t>
      </w:r>
      <w:r w:rsidRPr="00281428">
        <w:rPr>
          <w:szCs w:val="20"/>
        </w:rPr>
        <w:t xml:space="preserve">  </w:t>
      </w:r>
      <w:bookmarkStart w:id="328" w:name="_Hlk62742446"/>
      <w:r w:rsidRPr="00281428">
        <w:rPr>
          <w:rFonts w:eastAsia="Times New Roman"/>
          <w:szCs w:val="24"/>
        </w:rPr>
        <w:t>There were no updates provided.</w:t>
      </w:r>
      <w:bookmarkEnd w:id="328"/>
    </w:p>
    <w:p w14:paraId="7E2FC7DC" w14:textId="10C6897B" w:rsidR="000E4B8E" w:rsidRDefault="000E4B8E" w:rsidP="000E4B8E">
      <w:pPr>
        <w:rPr>
          <w:rFonts w:eastAsia="Times New Roman"/>
          <w:szCs w:val="24"/>
        </w:rPr>
      </w:pPr>
      <w:r w:rsidRPr="00281428">
        <w:rPr>
          <w:szCs w:val="20"/>
          <w:u w:val="single"/>
        </w:rPr>
        <w:t xml:space="preserve">NEWMA </w:t>
      </w:r>
      <w:bookmarkStart w:id="329" w:name="_Hlk62745467"/>
      <w:r w:rsidR="0085505A" w:rsidRPr="00281428">
        <w:rPr>
          <w:szCs w:val="20"/>
          <w:u w:val="single"/>
        </w:rPr>
        <w:t xml:space="preserve">2019 Interim </w:t>
      </w:r>
      <w:bookmarkEnd w:id="329"/>
      <w:r w:rsidRPr="00281428">
        <w:rPr>
          <w:szCs w:val="20"/>
          <w:u w:val="single"/>
        </w:rPr>
        <w:t>Meeting:</w:t>
      </w:r>
      <w:r w:rsidRPr="00281428">
        <w:rPr>
          <w:szCs w:val="20"/>
        </w:rPr>
        <w:t xml:space="preserve">  </w:t>
      </w:r>
      <w:r w:rsidRPr="00281428">
        <w:rPr>
          <w:rFonts w:eastAsia="Times New Roman"/>
          <w:szCs w:val="24"/>
        </w:rPr>
        <w:t>There were no updates provided.</w:t>
      </w:r>
    </w:p>
    <w:p w14:paraId="2B94EEBB" w14:textId="0B5AE2F3" w:rsidR="00E21F41" w:rsidRPr="00281428" w:rsidRDefault="00E21F41" w:rsidP="000E4B8E">
      <w:pPr>
        <w:rPr>
          <w:szCs w:val="20"/>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0A13447A" w14:textId="595C1171" w:rsidR="000E4B8E" w:rsidRPr="00281428" w:rsidRDefault="000E4B8E" w:rsidP="000E4B8E">
      <w:pPr>
        <w:rPr>
          <w:rFonts w:eastAsia="Times New Roman"/>
          <w:szCs w:val="24"/>
        </w:rPr>
      </w:pPr>
      <w:r w:rsidRPr="00281428">
        <w:rPr>
          <w:szCs w:val="20"/>
          <w:u w:val="single"/>
        </w:rPr>
        <w:t>CWMA</w:t>
      </w:r>
      <w:r w:rsidR="00E21F41">
        <w:rPr>
          <w:szCs w:val="20"/>
          <w:u w:val="single"/>
        </w:rPr>
        <w:t xml:space="preserve"> </w:t>
      </w:r>
      <w:r w:rsidR="0085505A" w:rsidRPr="00281428">
        <w:rPr>
          <w:szCs w:val="20"/>
          <w:u w:val="single"/>
        </w:rPr>
        <w:t xml:space="preserve">2020 Interim </w:t>
      </w:r>
      <w:r w:rsidRPr="00281428">
        <w:rPr>
          <w:szCs w:val="20"/>
          <w:u w:val="single"/>
        </w:rPr>
        <w:t>Meeting:</w:t>
      </w:r>
      <w:r w:rsidRPr="00281428">
        <w:rPr>
          <w:szCs w:val="20"/>
        </w:rPr>
        <w:t xml:space="preserve">  </w:t>
      </w:r>
      <w:r w:rsidRPr="00281428">
        <w:rPr>
          <w:rFonts w:eastAsia="Times New Roman"/>
          <w:szCs w:val="24"/>
        </w:rPr>
        <w:t>There were no updates provided.</w:t>
      </w:r>
    </w:p>
    <w:p w14:paraId="2398B94F" w14:textId="29CAD3AA" w:rsidR="00AE3A51" w:rsidRPr="00281428" w:rsidRDefault="00E33621" w:rsidP="00E33621">
      <w:r w:rsidRPr="00281428">
        <w:rPr>
          <w:szCs w:val="20"/>
        </w:rPr>
        <w:lastRenderedPageBreak/>
        <w:t xml:space="preserve">Additional letters, presentation and data may have been submitted for consideration with this item.  Please refer to </w:t>
      </w:r>
      <w:hyperlink r:id="rId44" w:history="1">
        <w:r w:rsidR="00A31F74" w:rsidRPr="00A766AF">
          <w:rPr>
            <w:rStyle w:val="Hyperlink"/>
            <w:noProof w:val="0"/>
            <w:color w:val="0000FF"/>
          </w:rPr>
          <w:t>https://www.ncwm.com/publication-16</w:t>
        </w:r>
      </w:hyperlink>
      <w:r w:rsidRPr="00281428">
        <w:rPr>
          <w:szCs w:val="20"/>
        </w:rPr>
        <w:t xml:space="preserve"> to review these documents</w:t>
      </w:r>
      <w:r w:rsidR="00AE3A51" w:rsidRPr="00281428">
        <w:t>.</w:t>
      </w:r>
    </w:p>
    <w:p w14:paraId="3509D3A2" w14:textId="37119D4C" w:rsidR="00C039A0" w:rsidRPr="00281428" w:rsidRDefault="00C039A0" w:rsidP="00810172">
      <w:pPr>
        <w:pStyle w:val="ItemHeading"/>
      </w:pPr>
      <w:bookmarkStart w:id="330" w:name="_Toc65741462"/>
      <w:bookmarkStart w:id="331" w:name="_Hlk61552411"/>
      <w:bookmarkEnd w:id="326"/>
      <w:r w:rsidRPr="00281428">
        <w:t>OTH-</w:t>
      </w:r>
      <w:r w:rsidR="00B841BE" w:rsidRPr="00281428">
        <w:t>11.1</w:t>
      </w:r>
      <w:r w:rsidRPr="00281428">
        <w:tab/>
        <w:t>D</w:t>
      </w:r>
      <w:r w:rsidRPr="00281428">
        <w:tab/>
        <w:t>Packaging and Labeling Subcommittee</w:t>
      </w:r>
      <w:bookmarkEnd w:id="330"/>
    </w:p>
    <w:p w14:paraId="5508AFB6" w14:textId="77777777" w:rsidR="00C039A0" w:rsidRPr="00281428" w:rsidRDefault="00C039A0" w:rsidP="000803DF">
      <w:pPr>
        <w:pStyle w:val="BoldHeading"/>
        <w:keepNext/>
      </w:pPr>
      <w:r w:rsidRPr="00281428">
        <w:t xml:space="preserve">Source:  </w:t>
      </w:r>
    </w:p>
    <w:p w14:paraId="4949CC5B" w14:textId="41080313" w:rsidR="00C039A0" w:rsidRPr="00281428" w:rsidRDefault="00621147" w:rsidP="000803DF">
      <w:pPr>
        <w:keepNext/>
      </w:pPr>
      <w:r w:rsidRPr="00281428">
        <w:t xml:space="preserve">NCWM </w:t>
      </w:r>
      <w:r w:rsidR="00C039A0" w:rsidRPr="00281428">
        <w:t>Packaging and Labeling Subcommittee</w:t>
      </w:r>
      <w:r w:rsidR="006A4CBA" w:rsidRPr="00281428">
        <w:t xml:space="preserve"> (PALS)</w:t>
      </w:r>
    </w:p>
    <w:p w14:paraId="2F31A6D6" w14:textId="77777777" w:rsidR="00C039A0" w:rsidRPr="00281428" w:rsidRDefault="00C039A0" w:rsidP="000803DF">
      <w:pPr>
        <w:pStyle w:val="BoldHeading"/>
        <w:keepNext/>
      </w:pPr>
      <w:r w:rsidRPr="00281428">
        <w:t xml:space="preserve">Purpose: </w:t>
      </w:r>
    </w:p>
    <w:p w14:paraId="1EDA292D" w14:textId="10B3C098" w:rsidR="00C039A0" w:rsidRPr="00281428" w:rsidRDefault="00C039A0" w:rsidP="00D335B6">
      <w:r w:rsidRPr="00281428">
        <w:t xml:space="preserve">Provide an update of the activities </w:t>
      </w:r>
      <w:r w:rsidR="00EE0E8A">
        <w:t>of PALS</w:t>
      </w:r>
      <w:r w:rsidRPr="00281428">
        <w:t xml:space="preserve"> </w:t>
      </w:r>
      <w:r w:rsidR="00EE0E8A">
        <w:t>who</w:t>
      </w:r>
      <w:r w:rsidRPr="00281428">
        <w:t xml:space="preserve"> reports to the L&amp;R Committee. </w:t>
      </w:r>
      <w:r w:rsidR="00962FB4">
        <w:t xml:space="preserve"> </w:t>
      </w:r>
      <w:r w:rsidRPr="00281428">
        <w:t>The mission of PALS is to assist the L&amp;R Committee in the development of agenda item</w:t>
      </w:r>
      <w:r w:rsidR="00EE0E8A">
        <w:t>s</w:t>
      </w:r>
      <w:r w:rsidR="000E5F8F" w:rsidRPr="00281428">
        <w:t>, NCWM positions and new standards</w:t>
      </w:r>
      <w:r w:rsidRPr="00281428">
        <w:t xml:space="preserve"> related to packaging and labeling.  </w:t>
      </w:r>
      <w:r w:rsidR="00EE0E8A">
        <w:t>PALS</w:t>
      </w:r>
      <w:r w:rsidRPr="00281428">
        <w:t xml:space="preserve"> will also be called upon to provide important and much needed guidance to the regulatory and consumer packaging communities on difficult questions.  </w:t>
      </w:r>
      <w:r w:rsidR="00EE0E8A">
        <w:t xml:space="preserve">PALS members </w:t>
      </w:r>
      <w:r w:rsidRPr="00281428">
        <w:t>comprise of a Chair</w:t>
      </w:r>
      <w:r w:rsidR="000E5F8F" w:rsidRPr="00281428">
        <w:t xml:space="preserve">, </w:t>
      </w:r>
      <w:r w:rsidRPr="00281428">
        <w:t>eight voting member</w:t>
      </w:r>
      <w:r w:rsidR="000E5F8F" w:rsidRPr="00281428">
        <w:t>s, and anyone interested in packaging and labeling standards.</w:t>
      </w:r>
    </w:p>
    <w:p w14:paraId="326A5720" w14:textId="77777777" w:rsidR="00C039A0" w:rsidRPr="00281428" w:rsidRDefault="00C039A0" w:rsidP="00D335B6">
      <w:pPr>
        <w:pStyle w:val="BoldHeading"/>
      </w:pPr>
      <w:r w:rsidRPr="00281428">
        <w:t xml:space="preserve">Item </w:t>
      </w:r>
      <w:r w:rsidR="007F08D7" w:rsidRPr="00281428">
        <w:t>U</w:t>
      </w:r>
      <w:r w:rsidRPr="00281428">
        <w:t xml:space="preserve">nder Consideration:  </w:t>
      </w:r>
    </w:p>
    <w:p w14:paraId="5870A4A6" w14:textId="6F0FEF4F" w:rsidR="00C96A77" w:rsidRPr="00281428" w:rsidRDefault="0081217C" w:rsidP="00D335B6">
      <w:pPr>
        <w:pStyle w:val="BoldHeading"/>
        <w:spacing w:after="240"/>
        <w:rPr>
          <w:b w:val="0"/>
        </w:rPr>
      </w:pPr>
      <w:bookmarkStart w:id="332" w:name="_Toc316645649"/>
      <w:r>
        <w:rPr>
          <w:b w:val="0"/>
        </w:rPr>
        <w:t>Not Applicable.</w:t>
      </w:r>
    </w:p>
    <w:bookmarkEnd w:id="332"/>
    <w:p w14:paraId="7469466C" w14:textId="024F46DB" w:rsidR="00C96A77" w:rsidRPr="00281428" w:rsidRDefault="00C96A77" w:rsidP="00D335B6">
      <w:pPr>
        <w:spacing w:after="0"/>
      </w:pPr>
      <w:r w:rsidRPr="00281428">
        <w:rPr>
          <w:b/>
        </w:rPr>
        <w:t>Background/Discussion:</w:t>
      </w:r>
      <w:r w:rsidRPr="00281428">
        <w:t xml:space="preserve"> </w:t>
      </w:r>
    </w:p>
    <w:p w14:paraId="22F4C28E" w14:textId="320E4AAD" w:rsidR="00B1021D" w:rsidRPr="00281428" w:rsidRDefault="00C96A77" w:rsidP="00D335B6">
      <w:pPr>
        <w:pStyle w:val="BoldHeading"/>
        <w:spacing w:after="240"/>
        <w:rPr>
          <w:b w:val="0"/>
        </w:rPr>
      </w:pPr>
      <w:r w:rsidRPr="00281428">
        <w:rPr>
          <w:b w:val="0"/>
        </w:rPr>
        <w:t xml:space="preserve">This item is to provide a report on the activities of </w:t>
      </w:r>
      <w:r w:rsidR="00EE0E8A">
        <w:rPr>
          <w:b w:val="0"/>
        </w:rPr>
        <w:t>PALS</w:t>
      </w:r>
      <w:r w:rsidRPr="00281428">
        <w:rPr>
          <w:b w:val="0"/>
        </w:rPr>
        <w:t xml:space="preserve"> which reports and provides recommendations to the Laws and Regulations Committee.  </w:t>
      </w:r>
    </w:p>
    <w:p w14:paraId="7DE86839" w14:textId="11553C08" w:rsidR="00C96A77" w:rsidRPr="00281428" w:rsidRDefault="00C96A77" w:rsidP="00C7744F">
      <w:pPr>
        <w:pStyle w:val="BoldHeading"/>
        <w:spacing w:after="240"/>
        <w:rPr>
          <w:b w:val="0"/>
        </w:rPr>
      </w:pPr>
      <w:r w:rsidRPr="00281428">
        <w:rPr>
          <w:b w:val="0"/>
        </w:rPr>
        <w:t>For more information or to provide comment, please contact</w:t>
      </w:r>
      <w:r w:rsidR="00EF52DB">
        <w:rPr>
          <w:b w:val="0"/>
        </w:rPr>
        <w:t>:</w:t>
      </w:r>
    </w:p>
    <w:p w14:paraId="57F34F63" w14:textId="12296F2F" w:rsidR="00C96A77" w:rsidRPr="00281428" w:rsidRDefault="00C96A77" w:rsidP="002F0196">
      <w:pPr>
        <w:pStyle w:val="BoldHeading"/>
        <w:ind w:left="720"/>
        <w:rPr>
          <w:b w:val="0"/>
        </w:rPr>
      </w:pPr>
      <w:r w:rsidRPr="00281428">
        <w:rPr>
          <w:b w:val="0"/>
        </w:rPr>
        <w:t xml:space="preserve">Mr. Chris </w:t>
      </w:r>
      <w:r w:rsidR="00B1021D" w:rsidRPr="00281428">
        <w:rPr>
          <w:b w:val="0"/>
        </w:rPr>
        <w:t>Guay</w:t>
      </w:r>
      <w:r w:rsidR="00D7711D">
        <w:rPr>
          <w:b w:val="0"/>
        </w:rPr>
        <w:t>, PALS Chair</w:t>
      </w:r>
    </w:p>
    <w:p w14:paraId="320039F5" w14:textId="73288428" w:rsidR="00C96A77" w:rsidRPr="00C7744F" w:rsidRDefault="00DF0D18" w:rsidP="00DF0D18">
      <w:pPr>
        <w:pStyle w:val="NoSpacing"/>
        <w:spacing w:after="240"/>
        <w:ind w:left="720"/>
        <w:rPr>
          <w:rFonts w:ascii="Times New Roman" w:eastAsia="Calibri" w:hAnsi="Times New Roman"/>
          <w:color w:val="0000FF"/>
          <w:sz w:val="20"/>
          <w:u w:val="single"/>
        </w:rPr>
      </w:pPr>
      <w:r>
        <w:rPr>
          <w:rFonts w:ascii="Times New Roman" w:hAnsi="Times New Roman"/>
          <w:sz w:val="20"/>
          <w:szCs w:val="20"/>
        </w:rPr>
        <w:t>513-</w:t>
      </w:r>
      <w:r w:rsidR="00B81E12" w:rsidRPr="00C7744F">
        <w:rPr>
          <w:rFonts w:ascii="Times New Roman" w:hAnsi="Times New Roman"/>
          <w:sz w:val="20"/>
          <w:szCs w:val="20"/>
        </w:rPr>
        <w:t>652-6597</w:t>
      </w:r>
      <w:r w:rsidR="00C96A77" w:rsidRPr="00C7744F">
        <w:rPr>
          <w:rFonts w:ascii="Times New Roman" w:hAnsi="Times New Roman"/>
          <w:sz w:val="20"/>
          <w:szCs w:val="20"/>
        </w:rPr>
        <w:t xml:space="preserve">, </w:t>
      </w:r>
      <w:hyperlink r:id="rId45" w:history="1">
        <w:r w:rsidR="00B1021D" w:rsidRPr="00C7744F">
          <w:rPr>
            <w:rFonts w:ascii="Times New Roman" w:hAnsi="Times New Roman"/>
            <w:color w:val="0000FF"/>
            <w:sz w:val="20"/>
            <w:szCs w:val="20"/>
            <w:u w:val="single"/>
          </w:rPr>
          <w:t>guay.cb@gmail.com</w:t>
        </w:r>
      </w:hyperlink>
      <w:r w:rsidR="005E5636" w:rsidRPr="00C7744F">
        <w:rPr>
          <w:rFonts w:eastAsia="Calibri"/>
          <w:color w:val="0000FF"/>
          <w:u w:val="single"/>
        </w:rPr>
        <w:t xml:space="preserve"> </w:t>
      </w:r>
    </w:p>
    <w:p w14:paraId="05BFA070" w14:textId="4E7DC33D" w:rsidR="00C96A77" w:rsidRPr="00281428" w:rsidRDefault="00C96A77" w:rsidP="002F0196">
      <w:pPr>
        <w:shd w:val="clear" w:color="auto" w:fill="FFFFFF"/>
        <w:spacing w:after="200"/>
        <w:textAlignment w:val="bottom"/>
        <w:rPr>
          <w:color w:val="000000"/>
          <w:sz w:val="24"/>
          <w:szCs w:val="24"/>
        </w:rPr>
      </w:pPr>
      <w:r w:rsidRPr="00281428">
        <w:rPr>
          <w:color w:val="000000"/>
        </w:rPr>
        <w:t xml:space="preserve">PALS is comprised of four voting regulatory officials (one from each region) and four voting members from industry (retailers and manufacturers) in addition to its Chairman and NIST Technical Advisor.  </w:t>
      </w:r>
      <w:r w:rsidR="00D7711D">
        <w:rPr>
          <w:color w:val="000000"/>
        </w:rPr>
        <w:t>Mr. Guay</w:t>
      </w:r>
      <w:r w:rsidRPr="00281428">
        <w:rPr>
          <w:color w:val="000000"/>
        </w:rPr>
        <w:t xml:space="preserve"> reported that work is currently being progressed through monthly webinar meetings and at the NCWM meetings.   Members of NCWM can participate in the PALS meetings by contacting Mr. Guay.  PALS members are responsible for providing updates at their Regional Meetings.  Mr. Guay added PALS will be developing proposals and</w:t>
      </w:r>
      <w:r w:rsidR="00B81E12" w:rsidRPr="00281428">
        <w:rPr>
          <w:color w:val="000000"/>
        </w:rPr>
        <w:t xml:space="preserve"> in addition</w:t>
      </w:r>
      <w:r w:rsidRPr="00281428">
        <w:rPr>
          <w:color w:val="000000"/>
        </w:rPr>
        <w:t xml:space="preserve"> providing</w:t>
      </w:r>
      <w:r w:rsidR="00B81E12" w:rsidRPr="00281428">
        <w:rPr>
          <w:color w:val="000000"/>
        </w:rPr>
        <w:t xml:space="preserve"> </w:t>
      </w:r>
      <w:r w:rsidRPr="00281428">
        <w:rPr>
          <w:color w:val="000000"/>
        </w:rPr>
        <w:t>guidance and recommendations on existing proposals as assigned by the L&amp;R Committee.  He stressed the importance of having key federal agencies (FDA, FTC, and USDA) participating.</w:t>
      </w:r>
    </w:p>
    <w:p w14:paraId="51C56CAC" w14:textId="11F8434B" w:rsidR="00C96A77" w:rsidRPr="00281428" w:rsidRDefault="00C96A77" w:rsidP="00C96A77">
      <w:pPr>
        <w:autoSpaceDE w:val="0"/>
        <w:autoSpaceDN w:val="0"/>
      </w:pPr>
      <w:r w:rsidRPr="00281428">
        <w:t xml:space="preserve">At the 2020 Interim Meeting, </w:t>
      </w:r>
      <w:r w:rsidR="007672E2">
        <w:t>Mr.</w:t>
      </w:r>
      <w:r w:rsidRPr="00281428">
        <w:t xml:space="preserve"> Guay reported that PALS is continuing to draft a proposed regulation and accompanying “Best Practice” document regarding products sold via e-commerce.  The focus of this document is to help provide more clarity on the information necessary for consumers to make informed product choices on-line and for consumers to confirm receipt of the products ordered.  PALS currently believes certain information is better included in a regulation while other information is better provided as guidance or </w:t>
      </w:r>
      <w:r w:rsidR="00546D9E">
        <w:t>“</w:t>
      </w:r>
      <w:r w:rsidR="002E3E21">
        <w:t xml:space="preserve">Recommended </w:t>
      </w:r>
      <w:r w:rsidRPr="00281428">
        <w:t>Best Practice</w:t>
      </w:r>
      <w:r w:rsidR="00546D9E">
        <w:t>”</w:t>
      </w:r>
      <w:r w:rsidRPr="00281428">
        <w:t xml:space="preserve"> document.  </w:t>
      </w:r>
      <w:r w:rsidR="00546D9E">
        <w:t>PALS</w:t>
      </w:r>
      <w:r w:rsidRPr="00281428">
        <w:t xml:space="preserve"> will work on development of this proposed regulation and proposed guidance in the spring of 2020 with a target to have a draft proposal prepared by the 2020 NCWM Annual </w:t>
      </w:r>
      <w:r w:rsidR="00546D9E">
        <w:t>M</w:t>
      </w:r>
      <w:r w:rsidRPr="00281428">
        <w:t xml:space="preserve">eeting.  Separately, PALS believes the text of “Recommended Best Practice” for quantity expressions is complete. </w:t>
      </w:r>
      <w:r w:rsidR="002E3E21">
        <w:t xml:space="preserve"> </w:t>
      </w:r>
      <w:r w:rsidRPr="00281428">
        <w:t xml:space="preserve">Also, PALS is developing an illustrative appendix with graphics support being provided by </w:t>
      </w:r>
      <w:r w:rsidR="002E3E21">
        <w:t>NCWM.</w:t>
      </w:r>
      <w:r w:rsidRPr="00281428">
        <w:t xml:space="preserve">  </w:t>
      </w:r>
    </w:p>
    <w:p w14:paraId="5782CEA5" w14:textId="15B21FE2" w:rsidR="00B81E12" w:rsidRPr="00281428" w:rsidRDefault="00B6721D" w:rsidP="00655343">
      <w:pPr>
        <w:outlineLvl w:val="1"/>
        <w:rPr>
          <w:rFonts w:eastAsia="Times New Roman"/>
          <w:szCs w:val="20"/>
        </w:rPr>
      </w:pPr>
      <w:r w:rsidRPr="00281428">
        <w:rPr>
          <w:rFonts w:eastAsia="Times New Roman"/>
          <w:szCs w:val="20"/>
        </w:rPr>
        <w:t>PALS</w:t>
      </w:r>
      <w:r w:rsidR="00B81E12" w:rsidRPr="00281428">
        <w:rPr>
          <w:rFonts w:eastAsia="Times New Roman"/>
          <w:szCs w:val="20"/>
        </w:rPr>
        <w:t xml:space="preserve"> held a session at the beginning of the combined 2020 NCWM Annual </w:t>
      </w:r>
      <w:r w:rsidRPr="00281428">
        <w:rPr>
          <w:rFonts w:eastAsia="Times New Roman"/>
          <w:szCs w:val="20"/>
        </w:rPr>
        <w:t xml:space="preserve">and 2021 </w:t>
      </w:r>
      <w:r w:rsidR="00B81E12" w:rsidRPr="00281428">
        <w:rPr>
          <w:rFonts w:eastAsia="Times New Roman"/>
          <w:szCs w:val="20"/>
        </w:rPr>
        <w:t xml:space="preserve">Interim Meeting to </w:t>
      </w:r>
      <w:r w:rsidRPr="00281428">
        <w:rPr>
          <w:rFonts w:eastAsia="Times New Roman"/>
          <w:szCs w:val="20"/>
        </w:rPr>
        <w:t xml:space="preserve">address </w:t>
      </w:r>
      <w:r w:rsidR="00B81E12" w:rsidRPr="00281428">
        <w:rPr>
          <w:rFonts w:eastAsia="Times New Roman"/>
          <w:szCs w:val="20"/>
        </w:rPr>
        <w:t xml:space="preserve">items under development and to discuss a request for NCWM comment and the final rule issued by the Alcohol and Tobacco Tax and Trade Bureau (TTB).   </w:t>
      </w:r>
    </w:p>
    <w:p w14:paraId="503E7D43" w14:textId="0949BD68" w:rsidR="00B81E12" w:rsidRPr="00281428" w:rsidRDefault="00B81E12" w:rsidP="002F0196">
      <w:pPr>
        <w:shd w:val="clear" w:color="auto" w:fill="FFFFFF"/>
        <w:spacing w:after="200"/>
        <w:rPr>
          <w:rFonts w:eastAsia="Times New Roman"/>
          <w:szCs w:val="20"/>
        </w:rPr>
      </w:pPr>
      <w:r w:rsidRPr="00281428">
        <w:rPr>
          <w:rFonts w:eastAsia="Times New Roman"/>
          <w:szCs w:val="20"/>
        </w:rPr>
        <w:t xml:space="preserve">PALS was asked it would be willing to support the dual U.S. </w:t>
      </w:r>
      <w:r w:rsidR="00771A69" w:rsidRPr="00281428">
        <w:rPr>
          <w:rFonts w:eastAsia="Times New Roman"/>
          <w:szCs w:val="20"/>
        </w:rPr>
        <w:t>c</w:t>
      </w:r>
      <w:r w:rsidRPr="00281428">
        <w:rPr>
          <w:rFonts w:eastAsia="Times New Roman"/>
          <w:szCs w:val="20"/>
        </w:rPr>
        <w:t xml:space="preserve">ustomary/SI net quantity statement provisions contained in a Citizen’s Petition to FDA made by the North American Olive Oil Association.  PALS reviewed the Olive Oil Association Petition as well as the specific request regarding net quantity labeling and determined that NCWM should not take a position on the petition.  </w:t>
      </w:r>
    </w:p>
    <w:p w14:paraId="08584DB5" w14:textId="14F2250B" w:rsidR="00B81E12" w:rsidRPr="00281428" w:rsidRDefault="00B6721D" w:rsidP="002F0196">
      <w:pPr>
        <w:shd w:val="clear" w:color="auto" w:fill="FFFFFF"/>
        <w:spacing w:after="200"/>
        <w:rPr>
          <w:rFonts w:eastAsia="Times New Roman"/>
          <w:szCs w:val="20"/>
        </w:rPr>
      </w:pPr>
      <w:r w:rsidRPr="00281428">
        <w:rPr>
          <w:rFonts w:eastAsia="Times New Roman"/>
          <w:szCs w:val="20"/>
        </w:rPr>
        <w:lastRenderedPageBreak/>
        <w:t>PALS</w:t>
      </w:r>
      <w:r w:rsidR="00B81E12" w:rsidRPr="00281428">
        <w:rPr>
          <w:rFonts w:eastAsia="Times New Roman"/>
          <w:szCs w:val="20"/>
        </w:rPr>
        <w:t xml:space="preserve"> reviewed the TTB final rule regarding prescribed sizes for beer, </w:t>
      </w:r>
      <w:proofErr w:type="gramStart"/>
      <w:r w:rsidR="00B81E12" w:rsidRPr="00281428">
        <w:rPr>
          <w:rFonts w:eastAsia="Times New Roman"/>
          <w:szCs w:val="20"/>
        </w:rPr>
        <w:t>wine</w:t>
      </w:r>
      <w:proofErr w:type="gramEnd"/>
      <w:r w:rsidR="00B81E12" w:rsidRPr="00281428">
        <w:rPr>
          <w:rFonts w:eastAsia="Times New Roman"/>
          <w:szCs w:val="20"/>
        </w:rPr>
        <w:t xml:space="preserve"> and spirits, noting that TTB has elected to expand the number of prescribed sizes allowed for certain alcoholic beverages.  It was noted that TTB provided clarification on labeling in both SI and U</w:t>
      </w:r>
      <w:r w:rsidR="00771A69" w:rsidRPr="00281428">
        <w:rPr>
          <w:rFonts w:eastAsia="Times New Roman"/>
          <w:szCs w:val="20"/>
        </w:rPr>
        <w:t>.</w:t>
      </w:r>
      <w:r w:rsidR="00B81E12" w:rsidRPr="00281428">
        <w:rPr>
          <w:rFonts w:eastAsia="Times New Roman"/>
          <w:szCs w:val="20"/>
        </w:rPr>
        <w:t>S</w:t>
      </w:r>
      <w:r w:rsidR="00771A69" w:rsidRPr="00281428">
        <w:rPr>
          <w:rFonts w:eastAsia="Times New Roman"/>
          <w:szCs w:val="20"/>
        </w:rPr>
        <w:t>.</w:t>
      </w:r>
      <w:r w:rsidR="00B81E12" w:rsidRPr="00281428">
        <w:rPr>
          <w:rFonts w:eastAsia="Times New Roman"/>
          <w:szCs w:val="20"/>
        </w:rPr>
        <w:t xml:space="preserve"> </w:t>
      </w:r>
      <w:r w:rsidR="00771A69" w:rsidRPr="00281428">
        <w:rPr>
          <w:rFonts w:eastAsia="Times New Roman"/>
          <w:szCs w:val="20"/>
        </w:rPr>
        <w:t>c</w:t>
      </w:r>
      <w:r w:rsidR="00B81E12" w:rsidRPr="00281428">
        <w:rPr>
          <w:rFonts w:eastAsia="Times New Roman"/>
          <w:szCs w:val="20"/>
        </w:rPr>
        <w:t xml:space="preserve">ustomary units both made no specific labeling requirement changes.  </w:t>
      </w:r>
    </w:p>
    <w:p w14:paraId="3EA9CE7A" w14:textId="203C93B4" w:rsidR="00B81E12" w:rsidRPr="00281428" w:rsidRDefault="00B6721D" w:rsidP="002F0196">
      <w:pPr>
        <w:shd w:val="clear" w:color="auto" w:fill="FFFFFF"/>
        <w:spacing w:after="200"/>
        <w:rPr>
          <w:rFonts w:eastAsia="Times New Roman"/>
          <w:szCs w:val="20"/>
        </w:rPr>
      </w:pPr>
      <w:r w:rsidRPr="00281428">
        <w:rPr>
          <w:rFonts w:eastAsia="Times New Roman"/>
          <w:szCs w:val="20"/>
        </w:rPr>
        <w:t>PALS</w:t>
      </w:r>
      <w:r w:rsidR="00B81E12" w:rsidRPr="00281428">
        <w:rPr>
          <w:rFonts w:eastAsia="Times New Roman"/>
          <w:szCs w:val="20"/>
        </w:rPr>
        <w:t xml:space="preserve"> reviewed the framework for a proposed Handbook 130 regulation regarding products sold through ecommerce.  </w:t>
      </w:r>
      <w:r w:rsidRPr="00281428">
        <w:rPr>
          <w:rFonts w:eastAsia="Times New Roman"/>
          <w:szCs w:val="20"/>
        </w:rPr>
        <w:t>This</w:t>
      </w:r>
      <w:r w:rsidR="00B81E12" w:rsidRPr="00281428">
        <w:rPr>
          <w:rFonts w:eastAsia="Times New Roman"/>
          <w:szCs w:val="20"/>
        </w:rPr>
        <w:t xml:space="preserve"> regulation </w:t>
      </w:r>
      <w:r w:rsidRPr="00281428">
        <w:rPr>
          <w:rFonts w:eastAsia="Times New Roman"/>
          <w:szCs w:val="20"/>
        </w:rPr>
        <w:t>would</w:t>
      </w:r>
      <w:r w:rsidR="00B81E12" w:rsidRPr="00281428">
        <w:rPr>
          <w:rFonts w:eastAsia="Times New Roman"/>
          <w:szCs w:val="20"/>
        </w:rPr>
        <w:t xml:space="preserve"> focus on ensuring buyers have sufficient information to make an accurate product selection and value comparison at the time of purchase</w:t>
      </w:r>
      <w:r w:rsidRPr="00281428">
        <w:rPr>
          <w:rFonts w:eastAsia="Times New Roman"/>
          <w:szCs w:val="20"/>
        </w:rPr>
        <w:t>,</w:t>
      </w:r>
      <w:r w:rsidR="00B81E12" w:rsidRPr="00281428">
        <w:rPr>
          <w:rFonts w:eastAsia="Times New Roman"/>
          <w:szCs w:val="20"/>
        </w:rPr>
        <w:t xml:space="preserve"> while also ensuing the buyer can confirm the product purchased is the product they </w:t>
      </w:r>
      <w:r w:rsidR="00A31F74" w:rsidRPr="00281428">
        <w:rPr>
          <w:rFonts w:eastAsia="Times New Roman"/>
          <w:szCs w:val="20"/>
        </w:rPr>
        <w:t>receive</w:t>
      </w:r>
      <w:r w:rsidR="00B81E12" w:rsidRPr="00281428">
        <w:rPr>
          <w:rFonts w:eastAsia="Times New Roman"/>
          <w:szCs w:val="20"/>
        </w:rPr>
        <w:t xml:space="preserve">.  </w:t>
      </w:r>
      <w:r w:rsidR="00771A69" w:rsidRPr="00281428">
        <w:rPr>
          <w:rFonts w:eastAsia="Times New Roman"/>
          <w:szCs w:val="20"/>
        </w:rPr>
        <w:t>PALS</w:t>
      </w:r>
      <w:r w:rsidR="00B81E12" w:rsidRPr="00281428">
        <w:rPr>
          <w:rFonts w:eastAsia="Times New Roman"/>
          <w:szCs w:val="20"/>
        </w:rPr>
        <w:t xml:space="preserve"> plans to make this proposal its priority for 2021.  </w:t>
      </w:r>
    </w:p>
    <w:p w14:paraId="1363013B" w14:textId="57068205" w:rsidR="00B81E12" w:rsidRPr="00281428" w:rsidRDefault="00B6721D" w:rsidP="002F0196">
      <w:pPr>
        <w:shd w:val="clear" w:color="auto" w:fill="FFFFFF"/>
        <w:spacing w:after="200"/>
        <w:rPr>
          <w:rFonts w:eastAsia="Times New Roman"/>
          <w:szCs w:val="20"/>
        </w:rPr>
      </w:pPr>
      <w:r w:rsidRPr="00281428">
        <w:rPr>
          <w:rFonts w:eastAsia="Times New Roman"/>
          <w:szCs w:val="20"/>
        </w:rPr>
        <w:t>PALS</w:t>
      </w:r>
      <w:r w:rsidR="00B81E12" w:rsidRPr="00281428">
        <w:rPr>
          <w:rFonts w:eastAsia="Times New Roman"/>
          <w:szCs w:val="20"/>
        </w:rPr>
        <w:t xml:space="preserve"> is planning to have the “Recommended Best Practice” </w:t>
      </w:r>
      <w:r w:rsidR="006176F0">
        <w:rPr>
          <w:rFonts w:eastAsia="Times New Roman"/>
          <w:szCs w:val="20"/>
        </w:rPr>
        <w:t>d</w:t>
      </w:r>
      <w:r w:rsidR="00B81E12" w:rsidRPr="00281428">
        <w:rPr>
          <w:rFonts w:eastAsia="Times New Roman"/>
          <w:szCs w:val="20"/>
        </w:rPr>
        <w:t xml:space="preserve">ocument for quantity related expressions appearing on a </w:t>
      </w:r>
      <w:r w:rsidRPr="00281428">
        <w:rPr>
          <w:rFonts w:eastAsia="Times New Roman"/>
          <w:szCs w:val="20"/>
        </w:rPr>
        <w:t xml:space="preserve">principal display panel and </w:t>
      </w:r>
      <w:r w:rsidR="00B81E12" w:rsidRPr="00281428">
        <w:rPr>
          <w:rFonts w:eastAsia="Times New Roman"/>
          <w:szCs w:val="20"/>
        </w:rPr>
        <w:t xml:space="preserve">the proper </w:t>
      </w:r>
      <w:r w:rsidRPr="00281428">
        <w:rPr>
          <w:rFonts w:eastAsia="Times New Roman"/>
          <w:szCs w:val="20"/>
        </w:rPr>
        <w:t>d</w:t>
      </w:r>
      <w:r w:rsidR="00B81E12" w:rsidRPr="00281428">
        <w:rPr>
          <w:rFonts w:eastAsia="Times New Roman"/>
          <w:szCs w:val="20"/>
        </w:rPr>
        <w:t xml:space="preserve">eclaration of </w:t>
      </w:r>
      <w:r w:rsidRPr="00281428">
        <w:rPr>
          <w:rFonts w:eastAsia="Times New Roman"/>
          <w:szCs w:val="20"/>
        </w:rPr>
        <w:t>n</w:t>
      </w:r>
      <w:r w:rsidR="00B81E12" w:rsidRPr="00281428">
        <w:rPr>
          <w:rFonts w:eastAsia="Times New Roman"/>
          <w:szCs w:val="20"/>
        </w:rPr>
        <w:t xml:space="preserve">et </w:t>
      </w:r>
      <w:r w:rsidRPr="00281428">
        <w:rPr>
          <w:rFonts w:eastAsia="Times New Roman"/>
          <w:szCs w:val="20"/>
        </w:rPr>
        <w:t>q</w:t>
      </w:r>
      <w:r w:rsidR="00B81E12" w:rsidRPr="00281428">
        <w:rPr>
          <w:rFonts w:eastAsia="Times New Roman"/>
          <w:szCs w:val="20"/>
        </w:rPr>
        <w:t>uantity completed by this summer.  The document has been complet</w:t>
      </w:r>
      <w:r w:rsidRPr="00281428">
        <w:rPr>
          <w:rFonts w:eastAsia="Times New Roman"/>
          <w:szCs w:val="20"/>
        </w:rPr>
        <w:t>ed</w:t>
      </w:r>
      <w:r w:rsidR="00B81E12" w:rsidRPr="00281428">
        <w:rPr>
          <w:rFonts w:eastAsia="Times New Roman"/>
          <w:szCs w:val="20"/>
        </w:rPr>
        <w:t xml:space="preserve"> and </w:t>
      </w:r>
      <w:r w:rsidRPr="00281428">
        <w:rPr>
          <w:rFonts w:eastAsia="Times New Roman"/>
          <w:szCs w:val="20"/>
        </w:rPr>
        <w:t xml:space="preserve">the </w:t>
      </w:r>
      <w:r w:rsidR="00B81E12" w:rsidRPr="00281428">
        <w:rPr>
          <w:rFonts w:eastAsia="Times New Roman"/>
          <w:szCs w:val="20"/>
        </w:rPr>
        <w:t xml:space="preserve">work </w:t>
      </w:r>
      <w:r w:rsidR="00A00E0F">
        <w:rPr>
          <w:rFonts w:eastAsia="Times New Roman"/>
          <w:szCs w:val="20"/>
        </w:rPr>
        <w:t>on the illustrative appendix is ongoing.</w:t>
      </w:r>
    </w:p>
    <w:p w14:paraId="058F1583" w14:textId="77777777" w:rsidR="00A00E0F" w:rsidRPr="00281428" w:rsidRDefault="00A00E0F" w:rsidP="00A00E0F">
      <w:pPr>
        <w:keepNext/>
        <w:keepLines/>
        <w:spacing w:after="120"/>
        <w:rPr>
          <w:szCs w:val="20"/>
        </w:rPr>
      </w:pPr>
      <w:r w:rsidRPr="00281428">
        <w:rPr>
          <w:b/>
          <w:szCs w:val="20"/>
        </w:rPr>
        <w:t>Regional Association Comments:</w:t>
      </w:r>
    </w:p>
    <w:p w14:paraId="2FB4FED9" w14:textId="77777777" w:rsidR="00E21F41" w:rsidRPr="00281428" w:rsidRDefault="00E21F41" w:rsidP="00E21F41">
      <w:pPr>
        <w:rPr>
          <w:szCs w:val="20"/>
          <w:u w:val="single"/>
        </w:rPr>
      </w:pPr>
      <w:r w:rsidRPr="00281428">
        <w:rPr>
          <w:szCs w:val="20"/>
          <w:u w:val="single"/>
        </w:rPr>
        <w:t>WWMA 2019 Annual Meeting</w:t>
      </w:r>
      <w:r>
        <w:rPr>
          <w:szCs w:val="20"/>
          <w:u w:val="single"/>
        </w:rPr>
        <w:t>:</w:t>
      </w:r>
      <w:r w:rsidRPr="00281428">
        <w:rPr>
          <w:szCs w:val="20"/>
        </w:rPr>
        <w:t xml:space="preserve">  </w:t>
      </w:r>
      <w:r w:rsidRPr="00281428">
        <w:rPr>
          <w:rFonts w:eastAsia="Times New Roman"/>
          <w:szCs w:val="24"/>
        </w:rPr>
        <w:t>There were no updates provided.</w:t>
      </w:r>
    </w:p>
    <w:p w14:paraId="4DA1A0A0" w14:textId="77777777" w:rsidR="00E21F41" w:rsidRPr="00281428" w:rsidRDefault="00E21F41" w:rsidP="00E21F41">
      <w:pPr>
        <w:rPr>
          <w:szCs w:val="20"/>
        </w:rPr>
      </w:pPr>
      <w:r w:rsidRPr="00281428">
        <w:rPr>
          <w:szCs w:val="20"/>
          <w:u w:val="single"/>
        </w:rPr>
        <w:t>SWMA 2019 Annual Meeting:</w:t>
      </w:r>
      <w:r w:rsidRPr="00281428">
        <w:rPr>
          <w:szCs w:val="20"/>
        </w:rPr>
        <w:t xml:space="preserve">  </w:t>
      </w:r>
      <w:r w:rsidRPr="00281428">
        <w:rPr>
          <w:rFonts w:eastAsia="Times New Roman"/>
          <w:szCs w:val="24"/>
        </w:rPr>
        <w:t>There were no updates provided.</w:t>
      </w:r>
    </w:p>
    <w:p w14:paraId="4C9BF324" w14:textId="77777777" w:rsidR="00E21F41" w:rsidRDefault="00E21F41" w:rsidP="00E21F41">
      <w:pPr>
        <w:rPr>
          <w:rFonts w:eastAsia="Times New Roman"/>
          <w:szCs w:val="24"/>
        </w:rPr>
      </w:pPr>
      <w:r w:rsidRPr="00281428">
        <w:rPr>
          <w:szCs w:val="20"/>
          <w:u w:val="single"/>
        </w:rPr>
        <w:t>NEWMA 2019 Interim Meeting:</w:t>
      </w:r>
      <w:r w:rsidRPr="00281428">
        <w:rPr>
          <w:szCs w:val="20"/>
        </w:rPr>
        <w:t xml:space="preserve">  </w:t>
      </w:r>
      <w:r w:rsidRPr="00281428">
        <w:rPr>
          <w:rFonts w:eastAsia="Times New Roman"/>
          <w:szCs w:val="24"/>
        </w:rPr>
        <w:t>There were no updates provided.</w:t>
      </w:r>
    </w:p>
    <w:p w14:paraId="684D24D9" w14:textId="15CB7DD4" w:rsidR="0085505A" w:rsidRPr="00281428" w:rsidRDefault="00E21F41" w:rsidP="00E21F41">
      <w:pPr>
        <w:outlineLvl w:val="1"/>
        <w:rPr>
          <w:rFonts w:eastAsia="Times New Roman"/>
          <w:szCs w:val="20"/>
        </w:rPr>
      </w:pPr>
      <w:r w:rsidRPr="00063A9D">
        <w:rPr>
          <w:rFonts w:eastAsia="Times New Roman"/>
          <w:szCs w:val="24"/>
          <w:u w:val="single"/>
        </w:rPr>
        <w:t>2020 Regional Meetings of the WWMA, NEWMA, and SWMA:</w:t>
      </w:r>
      <w:r w:rsidRPr="00191577">
        <w:rPr>
          <w:rFonts w:eastAsia="Times New Roman"/>
          <w:szCs w:val="24"/>
        </w:rPr>
        <w:t xml:space="preserve"> These regions </w:t>
      </w:r>
      <w:r w:rsidRPr="007267B5">
        <w:t>adhered to a condensed agenda due to the Covid pandemic and did</w:t>
      </w:r>
      <w:r w:rsidRPr="00C549D6">
        <w:t xml:space="preserve"> not consider this item</w:t>
      </w:r>
      <w:r>
        <w:t>.</w:t>
      </w:r>
    </w:p>
    <w:p w14:paraId="728B9489" w14:textId="5B2542E1" w:rsidR="0085505A" w:rsidRPr="00281428" w:rsidRDefault="0085505A" w:rsidP="0085505A">
      <w:pPr>
        <w:outlineLvl w:val="1"/>
        <w:rPr>
          <w:rFonts w:eastAsia="Times New Roman"/>
          <w:szCs w:val="20"/>
        </w:rPr>
      </w:pPr>
      <w:r w:rsidRPr="00281428">
        <w:rPr>
          <w:rFonts w:eastAsia="Times New Roman"/>
          <w:szCs w:val="20"/>
          <w:u w:val="single"/>
        </w:rPr>
        <w:t>CWMA 2020 Interim Meeting:</w:t>
      </w:r>
      <w:r w:rsidRPr="00281428">
        <w:rPr>
          <w:rFonts w:eastAsia="Times New Roman"/>
          <w:szCs w:val="20"/>
        </w:rPr>
        <w:t xml:space="preserve">  PALS Chair Chris Guay indicated that </w:t>
      </w:r>
      <w:r w:rsidR="006A2DF3" w:rsidRPr="00281428">
        <w:rPr>
          <w:rFonts w:eastAsia="Times New Roman"/>
          <w:szCs w:val="20"/>
        </w:rPr>
        <w:t>PALS</w:t>
      </w:r>
      <w:r w:rsidRPr="00281428">
        <w:rPr>
          <w:rFonts w:eastAsia="Times New Roman"/>
          <w:szCs w:val="20"/>
        </w:rPr>
        <w:t xml:space="preserve"> ha</w:t>
      </w:r>
      <w:r w:rsidR="006A2DF3" w:rsidRPr="00281428">
        <w:rPr>
          <w:rFonts w:eastAsia="Times New Roman"/>
          <w:szCs w:val="20"/>
        </w:rPr>
        <w:t>s</w:t>
      </w:r>
      <w:r w:rsidRPr="00281428">
        <w:rPr>
          <w:rFonts w:eastAsia="Times New Roman"/>
          <w:szCs w:val="20"/>
        </w:rPr>
        <w:t xml:space="preserve"> not met for a few months due to the COVID-19 </w:t>
      </w:r>
      <w:r w:rsidR="00607633" w:rsidRPr="00281428">
        <w:rPr>
          <w:rFonts w:eastAsia="Times New Roman"/>
          <w:szCs w:val="20"/>
        </w:rPr>
        <w:t>pandemic</w:t>
      </w:r>
      <w:r w:rsidR="00607633">
        <w:rPr>
          <w:rFonts w:eastAsia="Times New Roman"/>
          <w:szCs w:val="20"/>
        </w:rPr>
        <w:t xml:space="preserve"> but</w:t>
      </w:r>
      <w:r w:rsidRPr="00281428">
        <w:rPr>
          <w:rFonts w:eastAsia="Times New Roman"/>
          <w:szCs w:val="20"/>
        </w:rPr>
        <w:t xml:space="preserve"> plans to reconvene in November 2020.</w:t>
      </w:r>
    </w:p>
    <w:p w14:paraId="67300688" w14:textId="7E8DD6AF" w:rsidR="00C039A0" w:rsidRPr="00281428" w:rsidRDefault="00E33621" w:rsidP="00E33621">
      <w:pPr>
        <w:rPr>
          <w:szCs w:val="20"/>
        </w:rPr>
      </w:pPr>
      <w:r w:rsidRPr="00281428">
        <w:rPr>
          <w:szCs w:val="20"/>
        </w:rPr>
        <w:t xml:space="preserve">Additional letters, presentation and data may have been submitted for consideration with this item.  Please refer to </w:t>
      </w:r>
      <w:hyperlink r:id="rId46" w:history="1">
        <w:r w:rsidR="00A31F74" w:rsidRPr="00A766AF">
          <w:rPr>
            <w:rStyle w:val="Hyperlink"/>
            <w:noProof w:val="0"/>
            <w:color w:val="0000FF"/>
          </w:rPr>
          <w:t>https://www.ncwm.com/publication-16</w:t>
        </w:r>
      </w:hyperlink>
      <w:r w:rsidRPr="00281428">
        <w:rPr>
          <w:szCs w:val="20"/>
        </w:rPr>
        <w:t xml:space="preserve"> to review these documents</w:t>
      </w:r>
      <w:r w:rsidR="00C039A0" w:rsidRPr="00281428">
        <w:rPr>
          <w:szCs w:val="20"/>
        </w:rPr>
        <w:t>.</w:t>
      </w:r>
    </w:p>
    <w:bookmarkEnd w:id="331"/>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bookmarkEnd w:id="13"/>
    <w:bookmarkEnd w:id="14"/>
    <w:bookmarkEnd w:id="15"/>
    <w:bookmarkEnd w:id="16"/>
    <w:bookmarkEnd w:id="17"/>
    <w:bookmarkEnd w:id="18"/>
    <w:bookmarkEnd w:id="19"/>
    <w:bookmarkEnd w:id="20"/>
    <w:bookmarkEnd w:id="296"/>
    <w:p w14:paraId="3AF86E3B" w14:textId="77777777" w:rsidR="00D427EF" w:rsidRPr="0053799B" w:rsidRDefault="00D427EF" w:rsidP="00D427EF">
      <w:pPr>
        <w:pStyle w:val="CommitteeMemberNames"/>
        <w:keepNext/>
        <w:spacing w:before="120"/>
      </w:pPr>
      <w:r w:rsidRPr="0053799B">
        <w:t>M</w:t>
      </w:r>
      <w:r>
        <w:t xml:space="preserve">r. Louis Sakin, Towns of Hopkinton/Northbridge, Massachusetts </w:t>
      </w:r>
      <w:r w:rsidRPr="0053799B">
        <w:t>| Committee Chair</w:t>
      </w:r>
    </w:p>
    <w:p w14:paraId="67A9A972" w14:textId="77777777" w:rsidR="00D427EF" w:rsidRPr="0053799B" w:rsidRDefault="00D427EF" w:rsidP="00D427EF">
      <w:pPr>
        <w:pStyle w:val="CommitteeMemberNames"/>
        <w:keepNext/>
      </w:pPr>
      <w:r w:rsidRPr="0053799B">
        <w:t xml:space="preserve">Mr. </w:t>
      </w:r>
      <w:r>
        <w:t>Ethan Bogren, Westchester County, New York</w:t>
      </w:r>
      <w:r w:rsidRPr="0053799B">
        <w:t xml:space="preserve"> |</w:t>
      </w:r>
      <w:r>
        <w:t xml:space="preserve"> Member</w:t>
      </w:r>
    </w:p>
    <w:p w14:paraId="72D65659" w14:textId="77777777" w:rsidR="00D427EF" w:rsidRDefault="00D427EF" w:rsidP="00D427EF">
      <w:pPr>
        <w:pStyle w:val="CommitteeMemberNames"/>
        <w:keepNext/>
      </w:pPr>
      <w:r>
        <w:t xml:space="preserve">Mr. Richard Scali, Town of Barnstable, Massachusetts </w:t>
      </w:r>
      <w:r w:rsidRPr="0053799B">
        <w:t>|</w:t>
      </w:r>
      <w:r>
        <w:t xml:space="preserve"> Member</w:t>
      </w:r>
    </w:p>
    <w:p w14:paraId="23BB8FAB" w14:textId="77777777" w:rsidR="00D427EF" w:rsidRPr="0053799B" w:rsidRDefault="00D427EF" w:rsidP="00D427EF">
      <w:pPr>
        <w:pStyle w:val="CommitteeMemberNames"/>
        <w:keepNext/>
      </w:pPr>
      <w:r>
        <w:t xml:space="preserve">Mr. John McGuire, New Jersey </w:t>
      </w:r>
      <w:r w:rsidRPr="0053799B">
        <w:t>|</w:t>
      </w:r>
      <w:r>
        <w:t xml:space="preserve"> NCWM Representative</w:t>
      </w:r>
    </w:p>
    <w:p w14:paraId="6D8345FF" w14:textId="77777777" w:rsidR="00D427EF" w:rsidRPr="0053799B" w:rsidRDefault="00D427EF" w:rsidP="00D427EF">
      <w:pPr>
        <w:pStyle w:val="CommitteeMemberNames"/>
        <w:keepNext/>
      </w:pPr>
      <w:r>
        <w:t>Ms. Rebecca Richardson, MARC-IV Consulting</w:t>
      </w:r>
      <w:r w:rsidRPr="0053799B">
        <w:t xml:space="preserve"> | </w:t>
      </w:r>
      <w:r>
        <w:t>AMC Representative</w:t>
      </w:r>
    </w:p>
    <w:p w14:paraId="717B8589" w14:textId="29A1B479" w:rsidR="00784007" w:rsidRDefault="00D427EF" w:rsidP="00472A1D">
      <w:pPr>
        <w:pStyle w:val="CommitteeMemberNames"/>
        <w:spacing w:before="120"/>
        <w:rPr>
          <w:b/>
          <w:bCs/>
        </w:rPr>
      </w:pPr>
      <w:r>
        <w:rPr>
          <w:b/>
        </w:rPr>
        <w:t>Laws and Regulations Committee</w:t>
      </w:r>
      <w:r w:rsidR="00784007">
        <w:rPr>
          <w:b/>
          <w:bCs/>
        </w:rPr>
        <w:br w:type="page"/>
      </w:r>
    </w:p>
    <w:p w14:paraId="05D973E6" w14:textId="77777777" w:rsidR="00784007" w:rsidRPr="00035CE8" w:rsidRDefault="00784007" w:rsidP="00B1335A">
      <w:pPr>
        <w:suppressLineNumbers/>
        <w:spacing w:before="120" w:after="0"/>
        <w:jc w:val="left"/>
        <w:rPr>
          <w:b/>
          <w:bCs/>
        </w:rPr>
      </w:pPr>
    </w:p>
    <w:sectPr w:rsidR="00784007" w:rsidRPr="00035CE8" w:rsidSect="009628A5">
      <w:headerReference w:type="even" r:id="rId47"/>
      <w:headerReference w:type="default" r:id="rId48"/>
      <w:footerReference w:type="even" r:id="rId49"/>
      <w:footerReference w:type="default" r:id="rId5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5202" w14:textId="77777777" w:rsidR="000A4892" w:rsidRDefault="000A4892" w:rsidP="0082263A">
      <w:r>
        <w:separator/>
      </w:r>
    </w:p>
    <w:p w14:paraId="4C4F1CD9" w14:textId="77777777" w:rsidR="000A4892" w:rsidRDefault="000A4892"/>
  </w:endnote>
  <w:endnote w:type="continuationSeparator" w:id="0">
    <w:p w14:paraId="6D2DB0D8" w14:textId="77777777" w:rsidR="000A4892" w:rsidRDefault="000A4892" w:rsidP="0082263A">
      <w:r>
        <w:continuationSeparator/>
      </w:r>
    </w:p>
    <w:p w14:paraId="0CE6320D" w14:textId="77777777" w:rsidR="000A4892" w:rsidRDefault="000A4892"/>
  </w:endnote>
  <w:endnote w:type="continuationNotice" w:id="1">
    <w:p w14:paraId="00022B90" w14:textId="77777777" w:rsidR="000A4892" w:rsidRDefault="000A48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7CF124E3" w:rsidR="000A4892" w:rsidRDefault="000A4892"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124</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7A6" w14:textId="1780AFCF" w:rsidR="000A4892" w:rsidRDefault="000A4892" w:rsidP="00CD11EE">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123</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19F8" w14:textId="77777777" w:rsidR="000A4892" w:rsidRDefault="000A4892" w:rsidP="0082263A">
      <w:r>
        <w:separator/>
      </w:r>
    </w:p>
    <w:p w14:paraId="3ECD1BDB" w14:textId="77777777" w:rsidR="000A4892" w:rsidRDefault="000A4892"/>
  </w:footnote>
  <w:footnote w:type="continuationSeparator" w:id="0">
    <w:p w14:paraId="2250B544" w14:textId="77777777" w:rsidR="000A4892" w:rsidRDefault="000A4892" w:rsidP="0082263A">
      <w:r>
        <w:continuationSeparator/>
      </w:r>
    </w:p>
    <w:p w14:paraId="0D46A82E" w14:textId="77777777" w:rsidR="000A4892" w:rsidRDefault="000A4892"/>
  </w:footnote>
  <w:footnote w:type="continuationNotice" w:id="1">
    <w:p w14:paraId="4891BF9E" w14:textId="77777777" w:rsidR="000A4892" w:rsidRDefault="000A48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69E8" w14:textId="5EE6E9E8" w:rsidR="000A4892" w:rsidRPr="00027DA7" w:rsidRDefault="009B3F6A" w:rsidP="00027DA7">
    <w:pPr>
      <w:pStyle w:val="Header"/>
      <w:tabs>
        <w:tab w:val="clear" w:pos="4680"/>
      </w:tabs>
      <w:spacing w:after="0"/>
      <w:jc w:val="left"/>
    </w:pPr>
    <w:r>
      <w:t>NE</w:t>
    </w:r>
    <w:r w:rsidR="00027DA7">
      <w:t>WMA L&amp;R</w:t>
    </w:r>
    <w:r w:rsidR="00027DA7" w:rsidRPr="00540700">
      <w:t xml:space="preserve"> </w:t>
    </w:r>
    <w:r w:rsidR="00027DA7">
      <w:t>2021</w:t>
    </w:r>
    <w:r w:rsidR="00027DA7" w:rsidRPr="00540700">
      <w:t xml:space="preserve"> </w:t>
    </w:r>
    <w:r w:rsidR="00027DA7">
      <w:t>Annual</w:t>
    </w:r>
    <w:r w:rsidR="00027DA7" w:rsidRPr="00540700">
      <w:t xml:space="preserve"> Meeting </w:t>
    </w:r>
    <w:r w:rsidR="00027DA7">
      <w:t>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7BB04414" w:rsidR="000A4892" w:rsidRPr="002376C7" w:rsidRDefault="009B3F6A" w:rsidP="002376C7">
    <w:pPr>
      <w:pStyle w:val="Header"/>
      <w:tabs>
        <w:tab w:val="clear" w:pos="4680"/>
      </w:tabs>
      <w:spacing w:after="0"/>
      <w:jc w:val="right"/>
    </w:pPr>
    <w:bookmarkStart w:id="333" w:name="_Hlk65077118"/>
    <w:bookmarkStart w:id="334" w:name="_Hlk65077119"/>
    <w:bookmarkStart w:id="335" w:name="_Hlk65077120"/>
    <w:bookmarkStart w:id="336" w:name="_Hlk65077121"/>
    <w:bookmarkStart w:id="337" w:name="_Hlk65077122"/>
    <w:bookmarkStart w:id="338" w:name="_Hlk65077123"/>
    <w:bookmarkStart w:id="339" w:name="_Hlk65077124"/>
    <w:bookmarkStart w:id="340" w:name="_Hlk65077125"/>
    <w:bookmarkStart w:id="341" w:name="_Hlk65077127"/>
    <w:bookmarkStart w:id="342" w:name="_Hlk65077128"/>
    <w:bookmarkStart w:id="343" w:name="_Hlk65077129"/>
    <w:bookmarkStart w:id="344" w:name="_Hlk65077130"/>
    <w:bookmarkStart w:id="345" w:name="_Hlk65077232"/>
    <w:bookmarkStart w:id="346" w:name="_Hlk65077233"/>
    <w:bookmarkStart w:id="347" w:name="_Hlk65077234"/>
    <w:bookmarkStart w:id="348" w:name="_Hlk65077235"/>
    <w:bookmarkStart w:id="349" w:name="_Hlk65077236"/>
    <w:bookmarkStart w:id="350" w:name="_Hlk65077237"/>
    <w:r>
      <w:t>NE</w:t>
    </w:r>
    <w:r w:rsidR="002376C7">
      <w:t xml:space="preserve">WMA </w:t>
    </w:r>
    <w:r w:rsidR="002376C7" w:rsidRPr="00281428">
      <w:t xml:space="preserve">L&amp;R 2021 </w:t>
    </w:r>
    <w:r w:rsidR="002376C7">
      <w:t>Annual</w:t>
    </w:r>
    <w:r w:rsidR="002376C7" w:rsidRPr="00281428">
      <w:t xml:space="preserve"> Meeting </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002376C7">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110"/>
        </w:tabs>
        <w:ind w:left="711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05291F2A"/>
    <w:multiLevelType w:val="hybridMultilevel"/>
    <w:tmpl w:val="B5621B82"/>
    <w:lvl w:ilvl="0" w:tplc="D2FA7550">
      <w:start w:val="1"/>
      <w:numFmt w:val="lowerLetter"/>
      <w:lvlText w:val="(%1)"/>
      <w:lvlJc w:val="left"/>
      <w:pPr>
        <w:ind w:left="2250"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43EE6EBC">
      <w:start w:val="1"/>
      <w:numFmt w:val="lowerLetter"/>
      <w:lvlText w:val="%2"/>
      <w:lvlJc w:val="left"/>
      <w:pPr>
        <w:ind w:left="26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AAB8D086">
      <w:start w:val="1"/>
      <w:numFmt w:val="lowerRoman"/>
      <w:lvlText w:val="%3"/>
      <w:lvlJc w:val="left"/>
      <w:pPr>
        <w:ind w:left="33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4CB2DBA8">
      <w:start w:val="1"/>
      <w:numFmt w:val="decimal"/>
      <w:lvlText w:val="%4"/>
      <w:lvlJc w:val="left"/>
      <w:pPr>
        <w:ind w:left="40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B1A1CD0">
      <w:start w:val="1"/>
      <w:numFmt w:val="lowerLetter"/>
      <w:lvlText w:val="%5"/>
      <w:lvlJc w:val="left"/>
      <w:pPr>
        <w:ind w:left="477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A97A56FE">
      <w:start w:val="1"/>
      <w:numFmt w:val="lowerRoman"/>
      <w:lvlText w:val="%6"/>
      <w:lvlJc w:val="left"/>
      <w:pPr>
        <w:ind w:left="549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ED030B6">
      <w:start w:val="1"/>
      <w:numFmt w:val="decimal"/>
      <w:lvlText w:val="%7"/>
      <w:lvlJc w:val="left"/>
      <w:pPr>
        <w:ind w:left="62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411C3C84">
      <w:start w:val="1"/>
      <w:numFmt w:val="lowerLetter"/>
      <w:lvlText w:val="%8"/>
      <w:lvlJc w:val="left"/>
      <w:pPr>
        <w:ind w:left="69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CE85EDA">
      <w:start w:val="1"/>
      <w:numFmt w:val="lowerRoman"/>
      <w:lvlText w:val="%9"/>
      <w:lvlJc w:val="left"/>
      <w:pPr>
        <w:ind w:left="76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13" w15:restartNumberingAfterBreak="0">
    <w:nsid w:val="06EF37FE"/>
    <w:multiLevelType w:val="hybridMultilevel"/>
    <w:tmpl w:val="4B0C7992"/>
    <w:lvl w:ilvl="0" w:tplc="6258528E">
      <w:start w:val="1"/>
      <w:numFmt w:val="lowerLetter"/>
      <w:lvlText w:val="(%1)"/>
      <w:lvlJc w:val="left"/>
      <w:pPr>
        <w:ind w:left="2160" w:firstLine="0"/>
      </w:pPr>
      <w:rPr>
        <w:rFonts w:ascii="Times New Roman" w:eastAsia="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073819A9"/>
    <w:multiLevelType w:val="hybridMultilevel"/>
    <w:tmpl w:val="D304F33C"/>
    <w:lvl w:ilvl="0" w:tplc="DD049E86">
      <w:start w:val="1"/>
      <w:numFmt w:val="lowerLetter"/>
      <w:lvlText w:val="(%1)"/>
      <w:lvlJc w:val="left"/>
      <w:pPr>
        <w:ind w:left="1072" w:firstLine="0"/>
      </w:pPr>
      <w:rPr>
        <w:rFonts w:ascii="Times New Roman" w:eastAsia="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0A1E5A2C"/>
    <w:multiLevelType w:val="hybridMultilevel"/>
    <w:tmpl w:val="DA4E913C"/>
    <w:lvl w:ilvl="0" w:tplc="BF4A1C10">
      <w:start w:val="6"/>
      <w:numFmt w:val="lowerLetter"/>
      <w:lvlText w:val="(%1)"/>
      <w:lvlJc w:val="left"/>
      <w:pPr>
        <w:ind w:left="1080" w:hanging="360"/>
      </w:pPr>
      <w:rPr>
        <w:rFonts w:cs="Times New Roman" w:hint="default"/>
        <w:b w:val="0"/>
        <w:strike w:val="0"/>
        <w:dstrike w:val="0"/>
        <w:u w:val="none"/>
        <w:effect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6" w15:restartNumberingAfterBreak="0">
    <w:nsid w:val="0AFB62FD"/>
    <w:multiLevelType w:val="hybridMultilevel"/>
    <w:tmpl w:val="7D18704C"/>
    <w:lvl w:ilvl="0" w:tplc="4F64076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0B2E098C"/>
    <w:multiLevelType w:val="multilevel"/>
    <w:tmpl w:val="50727656"/>
    <w:lvl w:ilvl="0">
      <w:start w:val="1"/>
      <w:numFmt w:val="decimal"/>
      <w:lvlText w:val="%1."/>
      <w:lvlJc w:val="left"/>
      <w:pPr>
        <w:ind w:left="1080" w:hanging="360"/>
      </w:pPr>
      <w:rPr>
        <w:rFonts w:ascii="Times New Roman Bold" w:hAnsi="Times New Roman Bold"/>
        <w:i w:val="0"/>
        <w:u w:val="single"/>
      </w:rPr>
    </w:lvl>
    <w:lvl w:ilvl="1">
      <w:start w:val="12"/>
      <w:numFmt w:val="decimal"/>
      <w:isLgl/>
      <w:lvlText w:val="%1.%2."/>
      <w:lvlJc w:val="left"/>
      <w:pPr>
        <w:ind w:left="1170" w:hanging="450"/>
      </w:pPr>
      <w:rPr>
        <w:rFonts w:ascii="TimesNewRomanPS-BoldMT" w:hAnsi="TimesNewRomanPS-BoldMT" w:cs="TimesNewRomanPS-BoldMT" w:hint="default"/>
        <w:b/>
      </w:rPr>
    </w:lvl>
    <w:lvl w:ilvl="2">
      <w:start w:val="1"/>
      <w:numFmt w:val="decimal"/>
      <w:isLgl/>
      <w:lvlText w:val="%1.%2.%3."/>
      <w:lvlJc w:val="left"/>
      <w:pPr>
        <w:ind w:left="1440" w:hanging="720"/>
      </w:pPr>
      <w:rPr>
        <w:rFonts w:ascii="TimesNewRomanPS-BoldMT" w:hAnsi="TimesNewRomanPS-BoldMT" w:cs="TimesNewRomanPS-BoldMT" w:hint="default"/>
        <w:b/>
      </w:rPr>
    </w:lvl>
    <w:lvl w:ilvl="3">
      <w:start w:val="1"/>
      <w:numFmt w:val="decimal"/>
      <w:isLgl/>
      <w:lvlText w:val="%1.%2.%3.%4."/>
      <w:lvlJc w:val="left"/>
      <w:pPr>
        <w:ind w:left="1440" w:hanging="720"/>
      </w:pPr>
      <w:rPr>
        <w:rFonts w:ascii="TimesNewRomanPS-BoldMT" w:hAnsi="TimesNewRomanPS-BoldMT" w:cs="TimesNewRomanPS-BoldMT" w:hint="default"/>
        <w:b/>
      </w:rPr>
    </w:lvl>
    <w:lvl w:ilvl="4">
      <w:start w:val="1"/>
      <w:numFmt w:val="decimal"/>
      <w:isLgl/>
      <w:lvlText w:val="%1.%2.%3.%4.%5."/>
      <w:lvlJc w:val="left"/>
      <w:pPr>
        <w:ind w:left="1800" w:hanging="1080"/>
      </w:pPr>
      <w:rPr>
        <w:rFonts w:ascii="TimesNewRomanPS-BoldMT" w:hAnsi="TimesNewRomanPS-BoldMT" w:cs="TimesNewRomanPS-BoldMT" w:hint="default"/>
        <w:b/>
      </w:rPr>
    </w:lvl>
    <w:lvl w:ilvl="5">
      <w:start w:val="1"/>
      <w:numFmt w:val="decimal"/>
      <w:isLgl/>
      <w:lvlText w:val="%1.%2.%3.%4.%5.%6."/>
      <w:lvlJc w:val="left"/>
      <w:pPr>
        <w:ind w:left="1800" w:hanging="1080"/>
      </w:pPr>
      <w:rPr>
        <w:rFonts w:ascii="TimesNewRomanPS-BoldMT" w:hAnsi="TimesNewRomanPS-BoldMT" w:cs="TimesNewRomanPS-BoldMT" w:hint="default"/>
        <w:b/>
      </w:rPr>
    </w:lvl>
    <w:lvl w:ilvl="6">
      <w:start w:val="1"/>
      <w:numFmt w:val="decimal"/>
      <w:isLgl/>
      <w:lvlText w:val="%1.%2.%3.%4.%5.%6.%7."/>
      <w:lvlJc w:val="left"/>
      <w:pPr>
        <w:ind w:left="1800" w:hanging="1080"/>
      </w:pPr>
      <w:rPr>
        <w:rFonts w:ascii="TimesNewRomanPS-BoldMT" w:hAnsi="TimesNewRomanPS-BoldMT" w:cs="TimesNewRomanPS-BoldMT" w:hint="default"/>
        <w:b/>
      </w:rPr>
    </w:lvl>
    <w:lvl w:ilvl="7">
      <w:start w:val="1"/>
      <w:numFmt w:val="decimal"/>
      <w:isLgl/>
      <w:lvlText w:val="%1.%2.%3.%4.%5.%6.%7.%8."/>
      <w:lvlJc w:val="left"/>
      <w:pPr>
        <w:ind w:left="2160" w:hanging="1440"/>
      </w:pPr>
      <w:rPr>
        <w:rFonts w:ascii="TimesNewRomanPS-BoldMT" w:hAnsi="TimesNewRomanPS-BoldMT" w:cs="TimesNewRomanPS-BoldMT" w:hint="default"/>
        <w:b/>
      </w:rPr>
    </w:lvl>
    <w:lvl w:ilvl="8">
      <w:start w:val="1"/>
      <w:numFmt w:val="decimal"/>
      <w:isLgl/>
      <w:lvlText w:val="%1.%2.%3.%4.%5.%6.%7.%8.%9."/>
      <w:lvlJc w:val="left"/>
      <w:pPr>
        <w:ind w:left="2160" w:hanging="1440"/>
      </w:pPr>
      <w:rPr>
        <w:rFonts w:ascii="TimesNewRomanPS-BoldMT" w:hAnsi="TimesNewRomanPS-BoldMT" w:cs="TimesNewRomanPS-BoldMT" w:hint="default"/>
        <w:b/>
      </w:rPr>
    </w:lvl>
  </w:abstractNum>
  <w:abstractNum w:abstractNumId="18" w15:restartNumberingAfterBreak="0">
    <w:nsid w:val="0CF303D8"/>
    <w:multiLevelType w:val="multilevel"/>
    <w:tmpl w:val="0FB01990"/>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 w15:restartNumberingAfterBreak="0">
    <w:nsid w:val="0ED24995"/>
    <w:multiLevelType w:val="hybridMultilevel"/>
    <w:tmpl w:val="4836997C"/>
    <w:lvl w:ilvl="0" w:tplc="FFFFFFFF">
      <w:start w:val="1"/>
      <w:numFmt w:val="lowerLetter"/>
      <w:lvlText w:val="(%1)"/>
      <w:lvlJc w:val="left"/>
      <w:pPr>
        <w:ind w:left="1100" w:hanging="360"/>
      </w:pPr>
      <w:rPr>
        <w:rFonts w:cs="Times New Roman"/>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0" w15:restartNumberingAfterBreak="0">
    <w:nsid w:val="126B38B7"/>
    <w:multiLevelType w:val="hybridMultilevel"/>
    <w:tmpl w:val="F36040B6"/>
    <w:lvl w:ilvl="0" w:tplc="BCDA9FA0">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F20B68"/>
    <w:multiLevelType w:val="hybridMultilevel"/>
    <w:tmpl w:val="73F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40641B"/>
    <w:multiLevelType w:val="multilevel"/>
    <w:tmpl w:val="6908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5" w15:restartNumberingAfterBreak="0">
    <w:nsid w:val="1B320F63"/>
    <w:multiLevelType w:val="hybridMultilevel"/>
    <w:tmpl w:val="F4C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6D6302"/>
    <w:multiLevelType w:val="hybridMultilevel"/>
    <w:tmpl w:val="261EAD44"/>
    <w:lvl w:ilvl="0" w:tplc="5E52FDE8">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1A36E2"/>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8" w15:restartNumberingAfterBreak="0">
    <w:nsid w:val="1E026712"/>
    <w:multiLevelType w:val="hybridMultilevel"/>
    <w:tmpl w:val="C3E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DC2C30"/>
    <w:multiLevelType w:val="hybridMultilevel"/>
    <w:tmpl w:val="A244980E"/>
    <w:lvl w:ilvl="0" w:tplc="6BC02C48">
      <w:start w:val="1"/>
      <w:numFmt w:val="lowerLetter"/>
      <w:lvlText w:val="(%1)"/>
      <w:lvlJc w:val="left"/>
      <w:pPr>
        <w:ind w:left="126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3007CA1"/>
    <w:multiLevelType w:val="hybridMultilevel"/>
    <w:tmpl w:val="EE086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C15F7A"/>
    <w:multiLevelType w:val="hybridMultilevel"/>
    <w:tmpl w:val="6E3A3634"/>
    <w:lvl w:ilvl="0" w:tplc="DF763260">
      <w:start w:val="1"/>
      <w:numFmt w:val="lowerLetter"/>
      <w:lvlText w:val="(%1)"/>
      <w:lvlJc w:val="left"/>
      <w:pPr>
        <w:ind w:left="1350" w:hanging="360"/>
      </w:pPr>
      <w:rPr>
        <w:rFonts w:cs="Times New Roman"/>
        <w:strike/>
        <w:dstrike w:val="0"/>
        <w:u w:val="none"/>
        <w:effect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34" w15:restartNumberingAfterBreak="0">
    <w:nsid w:val="25666752"/>
    <w:multiLevelType w:val="hybridMultilevel"/>
    <w:tmpl w:val="E92CFE28"/>
    <w:lvl w:ilvl="0" w:tplc="F8EAEB78">
      <w:start w:val="1"/>
      <w:numFmt w:val="decimal"/>
      <w:lvlText w:val="%1."/>
      <w:lvlJc w:val="left"/>
      <w:pPr>
        <w:ind w:left="2160" w:hanging="360"/>
      </w:pPr>
      <w:rPr>
        <w:rFonts w:ascii="Times New Roman Bold" w:hAnsi="Times New Roman Bold"/>
        <w:u w:val="singl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391EDD"/>
    <w:multiLevelType w:val="hybridMultilevel"/>
    <w:tmpl w:val="51AE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E01E4B"/>
    <w:multiLevelType w:val="hybridMultilevel"/>
    <w:tmpl w:val="B4268A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F1A304D"/>
    <w:multiLevelType w:val="hybridMultilevel"/>
    <w:tmpl w:val="2EF494E6"/>
    <w:lvl w:ilvl="0" w:tplc="A37C594C">
      <w:start w:val="1"/>
      <w:numFmt w:val="lowerLetter"/>
      <w:lvlText w:val="(%1)"/>
      <w:lvlJc w:val="left"/>
      <w:pPr>
        <w:ind w:left="1432" w:firstLine="0"/>
      </w:pPr>
      <w:rPr>
        <w:rFonts w:ascii="Times New Roman" w:hAnsi="Times New Roman" w:cs="Times New Roman" w:hint="default"/>
        <w:b w:val="0"/>
        <w:bCs/>
        <w:i w:val="0"/>
        <w:strike w:val="0"/>
        <w:dstrike w:val="0"/>
        <w:color w:val="000000"/>
        <w:sz w:val="20"/>
        <w:szCs w:val="20"/>
        <w:u w:val="none" w:color="000000"/>
        <w:effect w:val="none"/>
        <w:bdr w:val="none" w:sz="0" w:space="0" w:color="auto" w:frame="1"/>
        <w:vertAlign w:val="baseline"/>
      </w:rPr>
    </w:lvl>
    <w:lvl w:ilvl="1" w:tplc="2E7A7436">
      <w:start w:val="1"/>
      <w:numFmt w:val="lowerLetter"/>
      <w:lvlText w:val="%2"/>
      <w:lvlJc w:val="left"/>
      <w:pPr>
        <w:ind w:left="14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CD0A7FCE">
      <w:start w:val="1"/>
      <w:numFmt w:val="lowerRoman"/>
      <w:lvlText w:val="%3"/>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EAA2958">
      <w:start w:val="1"/>
      <w:numFmt w:val="decimal"/>
      <w:lvlText w:val="%4"/>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92C29DE">
      <w:start w:val="1"/>
      <w:numFmt w:val="lowerLetter"/>
      <w:lvlText w:val="%5"/>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C0AD878">
      <w:start w:val="1"/>
      <w:numFmt w:val="lowerRoman"/>
      <w:lvlText w:val="%6"/>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1B2CA87A">
      <w:start w:val="1"/>
      <w:numFmt w:val="decimal"/>
      <w:lvlText w:val="%7"/>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DE9C934A">
      <w:start w:val="1"/>
      <w:numFmt w:val="lowerLetter"/>
      <w:lvlText w:val="%8"/>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4600512">
      <w:start w:val="1"/>
      <w:numFmt w:val="lowerRoman"/>
      <w:lvlText w:val="%9"/>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43" w15:restartNumberingAfterBreak="0">
    <w:nsid w:val="3019781B"/>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6D4FF7"/>
    <w:multiLevelType w:val="hybridMultilevel"/>
    <w:tmpl w:val="2FB0D97A"/>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33935D7C"/>
    <w:multiLevelType w:val="hybridMultilevel"/>
    <w:tmpl w:val="6ED69C90"/>
    <w:lvl w:ilvl="0" w:tplc="B714321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A62A164A">
      <w:start w:val="1"/>
      <w:numFmt w:val="lowerLetter"/>
      <w:lvlText w:val="%2"/>
      <w:lvlJc w:val="left"/>
      <w:pPr>
        <w:ind w:left="18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70643F3E">
      <w:start w:val="1"/>
      <w:numFmt w:val="lowerRoman"/>
      <w:lvlText w:val="%3"/>
      <w:lvlJc w:val="left"/>
      <w:pPr>
        <w:ind w:left="25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A3A2F50C">
      <w:start w:val="1"/>
      <w:numFmt w:val="decimal"/>
      <w:lvlText w:val="%4"/>
      <w:lvlJc w:val="left"/>
      <w:pPr>
        <w:ind w:left="32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5F0CC390">
      <w:start w:val="1"/>
      <w:numFmt w:val="lowerLetter"/>
      <w:lvlText w:val="%5"/>
      <w:lvlJc w:val="left"/>
      <w:pPr>
        <w:ind w:left="39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0122D38E">
      <w:start w:val="1"/>
      <w:numFmt w:val="lowerRoman"/>
      <w:lvlText w:val="%6"/>
      <w:lvlJc w:val="left"/>
      <w:pPr>
        <w:ind w:left="46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33C01DA">
      <w:start w:val="1"/>
      <w:numFmt w:val="decimal"/>
      <w:lvlText w:val="%7"/>
      <w:lvlJc w:val="left"/>
      <w:pPr>
        <w:ind w:left="54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8206B9DA">
      <w:start w:val="1"/>
      <w:numFmt w:val="lowerLetter"/>
      <w:lvlText w:val="%8"/>
      <w:lvlJc w:val="left"/>
      <w:pPr>
        <w:ind w:left="61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73DAEADC">
      <w:start w:val="1"/>
      <w:numFmt w:val="lowerRoman"/>
      <w:lvlText w:val="%9"/>
      <w:lvlJc w:val="left"/>
      <w:pPr>
        <w:ind w:left="68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47"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8"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0547E1"/>
    <w:multiLevelType w:val="hybridMultilevel"/>
    <w:tmpl w:val="2B4202A6"/>
    <w:lvl w:ilvl="0" w:tplc="D346CBB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02CCA3CE">
      <w:start w:val="1"/>
      <w:numFmt w:val="lowerLetter"/>
      <w:lvlText w:val="%2"/>
      <w:lvlJc w:val="left"/>
      <w:pPr>
        <w:ind w:left="16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B9966198">
      <w:start w:val="1"/>
      <w:numFmt w:val="lowerRoman"/>
      <w:lvlText w:val="%3"/>
      <w:lvlJc w:val="left"/>
      <w:pPr>
        <w:ind w:left="23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8ECC956">
      <w:start w:val="1"/>
      <w:numFmt w:val="decimal"/>
      <w:lvlText w:val="%4"/>
      <w:lvlJc w:val="left"/>
      <w:pPr>
        <w:ind w:left="30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91DABCA6">
      <w:start w:val="1"/>
      <w:numFmt w:val="lowerLetter"/>
      <w:lvlText w:val="%5"/>
      <w:lvlJc w:val="left"/>
      <w:pPr>
        <w:ind w:left="37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D3E45CAE">
      <w:start w:val="1"/>
      <w:numFmt w:val="lowerRoman"/>
      <w:lvlText w:val="%6"/>
      <w:lvlJc w:val="left"/>
      <w:pPr>
        <w:ind w:left="45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D3DE913C">
      <w:start w:val="1"/>
      <w:numFmt w:val="decimal"/>
      <w:lvlText w:val="%7"/>
      <w:lvlJc w:val="left"/>
      <w:pPr>
        <w:ind w:left="52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2CA2B8B2">
      <w:start w:val="1"/>
      <w:numFmt w:val="lowerLetter"/>
      <w:lvlText w:val="%8"/>
      <w:lvlJc w:val="left"/>
      <w:pPr>
        <w:ind w:left="59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24A89A6A">
      <w:start w:val="1"/>
      <w:numFmt w:val="lowerRoman"/>
      <w:lvlText w:val="%9"/>
      <w:lvlJc w:val="left"/>
      <w:pPr>
        <w:ind w:left="66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50" w15:restartNumberingAfterBreak="0">
    <w:nsid w:val="35803B28"/>
    <w:multiLevelType w:val="hybridMultilevel"/>
    <w:tmpl w:val="49ACB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8A30C4D"/>
    <w:multiLevelType w:val="hybridMultilevel"/>
    <w:tmpl w:val="B5621B82"/>
    <w:lvl w:ilvl="0" w:tplc="D2FA7550">
      <w:start w:val="1"/>
      <w:numFmt w:val="lowerLetter"/>
      <w:lvlText w:val="(%1)"/>
      <w:lvlJc w:val="left"/>
      <w:pPr>
        <w:ind w:left="2250"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43EE6EBC">
      <w:start w:val="1"/>
      <w:numFmt w:val="lowerLetter"/>
      <w:lvlText w:val="%2"/>
      <w:lvlJc w:val="left"/>
      <w:pPr>
        <w:ind w:left="26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AAB8D086">
      <w:start w:val="1"/>
      <w:numFmt w:val="lowerRoman"/>
      <w:lvlText w:val="%3"/>
      <w:lvlJc w:val="left"/>
      <w:pPr>
        <w:ind w:left="33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4CB2DBA8">
      <w:start w:val="1"/>
      <w:numFmt w:val="decimal"/>
      <w:lvlText w:val="%4"/>
      <w:lvlJc w:val="left"/>
      <w:pPr>
        <w:ind w:left="40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B1A1CD0">
      <w:start w:val="1"/>
      <w:numFmt w:val="lowerLetter"/>
      <w:lvlText w:val="%5"/>
      <w:lvlJc w:val="left"/>
      <w:pPr>
        <w:ind w:left="477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A97A56FE">
      <w:start w:val="1"/>
      <w:numFmt w:val="lowerRoman"/>
      <w:lvlText w:val="%6"/>
      <w:lvlJc w:val="left"/>
      <w:pPr>
        <w:ind w:left="549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ED030B6">
      <w:start w:val="1"/>
      <w:numFmt w:val="decimal"/>
      <w:lvlText w:val="%7"/>
      <w:lvlJc w:val="left"/>
      <w:pPr>
        <w:ind w:left="62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411C3C84">
      <w:start w:val="1"/>
      <w:numFmt w:val="lowerLetter"/>
      <w:lvlText w:val="%8"/>
      <w:lvlJc w:val="left"/>
      <w:pPr>
        <w:ind w:left="69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CE85EDA">
      <w:start w:val="1"/>
      <w:numFmt w:val="lowerRoman"/>
      <w:lvlText w:val="%9"/>
      <w:lvlJc w:val="left"/>
      <w:pPr>
        <w:ind w:left="76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53"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3B5E39F6"/>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806221"/>
    <w:multiLevelType w:val="hybridMultilevel"/>
    <w:tmpl w:val="103E67FE"/>
    <w:lvl w:ilvl="0" w:tplc="0DA6E91C">
      <w:start w:val="1"/>
      <w:numFmt w:val="lowerLetter"/>
      <w:lvlText w:val="(%1)"/>
      <w:lvlJc w:val="left"/>
      <w:pPr>
        <w:ind w:left="1064" w:firstLine="0"/>
      </w:pPr>
      <w:rPr>
        <w:rFonts w:ascii="Times New Roman" w:eastAsia="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abstractNum w:abstractNumId="56" w15:restartNumberingAfterBreak="0">
    <w:nsid w:val="3C1A7013"/>
    <w:multiLevelType w:val="hybridMultilevel"/>
    <w:tmpl w:val="D22692E8"/>
    <w:lvl w:ilvl="0" w:tplc="32A8BC3C">
      <w:start w:val="1"/>
      <w:numFmt w:val="lowerLetter"/>
      <w:lvlText w:val="(%1)"/>
      <w:lvlJc w:val="left"/>
      <w:pPr>
        <w:ind w:left="4860" w:firstLine="0"/>
      </w:pPr>
      <w:rPr>
        <w:rFonts w:ascii="Times New Roman" w:hAnsi="Times New Roman" w:cs="Times New Roman" w:hint="default"/>
        <w:b w:val="0"/>
        <w:bCs w:val="0"/>
        <w:i w:val="0"/>
        <w:strike w:val="0"/>
        <w:color w:val="000000"/>
        <w:sz w:val="20"/>
        <w:szCs w:val="20"/>
        <w:u w:color="000000"/>
        <w:bdr w:val="none" w:sz="0" w:space="0" w:color="auto" w:frame="1"/>
        <w:vertAlign w:val="baseline"/>
      </w:rPr>
    </w:lvl>
    <w:lvl w:ilvl="1" w:tplc="2E7A7436">
      <w:start w:val="1"/>
      <w:numFmt w:val="lowerLetter"/>
      <w:lvlText w:val="%2"/>
      <w:lvlJc w:val="left"/>
      <w:pPr>
        <w:ind w:left="48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CD0A7FCE">
      <w:start w:val="1"/>
      <w:numFmt w:val="lowerRoman"/>
      <w:lvlText w:val="%3"/>
      <w:lvlJc w:val="left"/>
      <w:pPr>
        <w:ind w:left="55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EAA2958">
      <w:start w:val="1"/>
      <w:numFmt w:val="decimal"/>
      <w:lvlText w:val="%4"/>
      <w:lvlJc w:val="left"/>
      <w:pPr>
        <w:ind w:left="63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92C29DE">
      <w:start w:val="1"/>
      <w:numFmt w:val="lowerLetter"/>
      <w:lvlText w:val="%5"/>
      <w:lvlJc w:val="left"/>
      <w:pPr>
        <w:ind w:left="702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C0AD878">
      <w:start w:val="1"/>
      <w:numFmt w:val="lowerRoman"/>
      <w:lvlText w:val="%6"/>
      <w:lvlJc w:val="left"/>
      <w:pPr>
        <w:ind w:left="774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1B2CA87A">
      <w:start w:val="1"/>
      <w:numFmt w:val="decimal"/>
      <w:lvlText w:val="%7"/>
      <w:lvlJc w:val="left"/>
      <w:pPr>
        <w:ind w:left="84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DE9C934A">
      <w:start w:val="1"/>
      <w:numFmt w:val="lowerLetter"/>
      <w:lvlText w:val="%8"/>
      <w:lvlJc w:val="left"/>
      <w:pPr>
        <w:ind w:left="91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4600512">
      <w:start w:val="1"/>
      <w:numFmt w:val="lowerRoman"/>
      <w:lvlText w:val="%9"/>
      <w:lvlJc w:val="left"/>
      <w:pPr>
        <w:ind w:left="99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57" w15:restartNumberingAfterBreak="0">
    <w:nsid w:val="3C1F20FE"/>
    <w:multiLevelType w:val="hybridMultilevel"/>
    <w:tmpl w:val="EE586F0C"/>
    <w:lvl w:ilvl="0" w:tplc="81F89A2C">
      <w:start w:val="2"/>
      <w:numFmt w:val="lowerLetter"/>
      <w:lvlText w:val="(%1)"/>
      <w:lvlJc w:val="left"/>
      <w:pPr>
        <w:ind w:left="1080" w:firstLine="0"/>
      </w:pPr>
      <w:rPr>
        <w:rFonts w:ascii="Times New Roman" w:eastAsia="Times New Roman" w:hAnsi="Times New Roman" w:cs="Times New Roman" w:hint="default"/>
        <w:b w:val="0"/>
        <w:bCs/>
        <w:i w:val="0"/>
        <w:color w:val="000000"/>
        <w:sz w:val="20"/>
        <w:szCs w:val="20"/>
        <w:u w:val="none"/>
        <w:vertAlign w:val="baseline"/>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58" w15:restartNumberingAfterBreak="0">
    <w:nsid w:val="3C8C061E"/>
    <w:multiLevelType w:val="multilevel"/>
    <w:tmpl w:val="BD40EACE"/>
    <w:lvl w:ilvl="0">
      <w:start w:val="1"/>
      <w:numFmt w:val="bullet"/>
      <w:lvlText w:val=""/>
      <w:lvlJc w:val="left"/>
      <w:pPr>
        <w:ind w:left="1440" w:hanging="360"/>
      </w:pPr>
      <w:rPr>
        <w:rFonts w:ascii="Wingdings" w:hAnsi="Wingdings" w:hint="default"/>
        <w:i w:val="0"/>
        <w:u w:val="single"/>
      </w:rPr>
    </w:lvl>
    <w:lvl w:ilvl="1">
      <w:start w:val="12"/>
      <w:numFmt w:val="decimal"/>
      <w:isLgl/>
      <w:lvlText w:val="%1.%2."/>
      <w:lvlJc w:val="left"/>
      <w:pPr>
        <w:ind w:left="1530" w:hanging="450"/>
      </w:pPr>
      <w:rPr>
        <w:rFonts w:ascii="TimesNewRomanPS-BoldMT" w:hAnsi="TimesNewRomanPS-BoldMT" w:cs="TimesNewRomanPS-BoldMT" w:hint="default"/>
        <w:b/>
      </w:rPr>
    </w:lvl>
    <w:lvl w:ilvl="2">
      <w:start w:val="1"/>
      <w:numFmt w:val="decimal"/>
      <w:isLgl/>
      <w:lvlText w:val="%1.%2.%3."/>
      <w:lvlJc w:val="left"/>
      <w:pPr>
        <w:ind w:left="1800" w:hanging="720"/>
      </w:pPr>
      <w:rPr>
        <w:rFonts w:ascii="TimesNewRomanPS-BoldMT" w:hAnsi="TimesNewRomanPS-BoldMT" w:cs="TimesNewRomanPS-BoldMT" w:hint="default"/>
        <w:b/>
      </w:rPr>
    </w:lvl>
    <w:lvl w:ilvl="3">
      <w:start w:val="1"/>
      <w:numFmt w:val="decimal"/>
      <w:isLgl/>
      <w:lvlText w:val="%1.%2.%3.%4."/>
      <w:lvlJc w:val="left"/>
      <w:pPr>
        <w:ind w:left="1800" w:hanging="720"/>
      </w:pPr>
      <w:rPr>
        <w:rFonts w:ascii="TimesNewRomanPS-BoldMT" w:hAnsi="TimesNewRomanPS-BoldMT" w:cs="TimesNewRomanPS-BoldMT" w:hint="default"/>
        <w:b/>
      </w:rPr>
    </w:lvl>
    <w:lvl w:ilvl="4">
      <w:start w:val="1"/>
      <w:numFmt w:val="decimal"/>
      <w:isLgl/>
      <w:lvlText w:val="%1.%2.%3.%4.%5."/>
      <w:lvlJc w:val="left"/>
      <w:pPr>
        <w:ind w:left="2160" w:hanging="1080"/>
      </w:pPr>
      <w:rPr>
        <w:rFonts w:ascii="TimesNewRomanPS-BoldMT" w:hAnsi="TimesNewRomanPS-BoldMT" w:cs="TimesNewRomanPS-BoldMT" w:hint="default"/>
        <w:b/>
      </w:rPr>
    </w:lvl>
    <w:lvl w:ilvl="5">
      <w:start w:val="1"/>
      <w:numFmt w:val="decimal"/>
      <w:isLgl/>
      <w:lvlText w:val="%1.%2.%3.%4.%5.%6."/>
      <w:lvlJc w:val="left"/>
      <w:pPr>
        <w:ind w:left="2160" w:hanging="1080"/>
      </w:pPr>
      <w:rPr>
        <w:rFonts w:ascii="TimesNewRomanPS-BoldMT" w:hAnsi="TimesNewRomanPS-BoldMT" w:cs="TimesNewRomanPS-BoldMT" w:hint="default"/>
        <w:b/>
      </w:rPr>
    </w:lvl>
    <w:lvl w:ilvl="6">
      <w:start w:val="1"/>
      <w:numFmt w:val="decimal"/>
      <w:isLgl/>
      <w:lvlText w:val="%1.%2.%3.%4.%5.%6.%7."/>
      <w:lvlJc w:val="left"/>
      <w:pPr>
        <w:ind w:left="2160" w:hanging="1080"/>
      </w:pPr>
      <w:rPr>
        <w:rFonts w:ascii="TimesNewRomanPS-BoldMT" w:hAnsi="TimesNewRomanPS-BoldMT" w:cs="TimesNewRomanPS-BoldMT" w:hint="default"/>
        <w:b/>
      </w:rPr>
    </w:lvl>
    <w:lvl w:ilvl="7">
      <w:start w:val="1"/>
      <w:numFmt w:val="decimal"/>
      <w:isLgl/>
      <w:lvlText w:val="%1.%2.%3.%4.%5.%6.%7.%8."/>
      <w:lvlJc w:val="left"/>
      <w:pPr>
        <w:ind w:left="2520" w:hanging="1440"/>
      </w:pPr>
      <w:rPr>
        <w:rFonts w:ascii="TimesNewRomanPS-BoldMT" w:hAnsi="TimesNewRomanPS-BoldMT" w:cs="TimesNewRomanPS-BoldMT" w:hint="default"/>
        <w:b/>
      </w:rPr>
    </w:lvl>
    <w:lvl w:ilvl="8">
      <w:start w:val="1"/>
      <w:numFmt w:val="decimal"/>
      <w:isLgl/>
      <w:lvlText w:val="%1.%2.%3.%4.%5.%6.%7.%8.%9."/>
      <w:lvlJc w:val="left"/>
      <w:pPr>
        <w:ind w:left="2520" w:hanging="1440"/>
      </w:pPr>
      <w:rPr>
        <w:rFonts w:ascii="TimesNewRomanPS-BoldMT" w:hAnsi="TimesNewRomanPS-BoldMT" w:cs="TimesNewRomanPS-BoldMT" w:hint="default"/>
        <w:b/>
      </w:rPr>
    </w:lvl>
  </w:abstractNum>
  <w:abstractNum w:abstractNumId="59"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2F432B"/>
    <w:multiLevelType w:val="hybridMultilevel"/>
    <w:tmpl w:val="29E0023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3" w15:restartNumberingAfterBreak="0">
    <w:nsid w:val="42476AD9"/>
    <w:multiLevelType w:val="hybridMultilevel"/>
    <w:tmpl w:val="B71084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4" w15:restartNumberingAfterBreak="0">
    <w:nsid w:val="44AC4BA6"/>
    <w:multiLevelType w:val="hybridMultilevel"/>
    <w:tmpl w:val="D22692E8"/>
    <w:lvl w:ilvl="0" w:tplc="32A8BC3C">
      <w:start w:val="1"/>
      <w:numFmt w:val="lowerLetter"/>
      <w:lvlText w:val="(%1)"/>
      <w:lvlJc w:val="left"/>
      <w:pPr>
        <w:ind w:left="4860" w:firstLine="0"/>
      </w:pPr>
      <w:rPr>
        <w:rFonts w:ascii="Times New Roman" w:hAnsi="Times New Roman" w:cs="Times New Roman" w:hint="default"/>
        <w:b w:val="0"/>
        <w:bCs w:val="0"/>
        <w:i w:val="0"/>
        <w:strike w:val="0"/>
        <w:color w:val="000000"/>
        <w:sz w:val="20"/>
        <w:szCs w:val="20"/>
        <w:u w:color="000000"/>
        <w:bdr w:val="none" w:sz="0" w:space="0" w:color="auto" w:frame="1"/>
        <w:vertAlign w:val="baseline"/>
      </w:rPr>
    </w:lvl>
    <w:lvl w:ilvl="1" w:tplc="2E7A7436">
      <w:start w:val="1"/>
      <w:numFmt w:val="lowerLetter"/>
      <w:lvlText w:val="%2"/>
      <w:lvlJc w:val="left"/>
      <w:pPr>
        <w:ind w:left="48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CD0A7FCE">
      <w:start w:val="1"/>
      <w:numFmt w:val="lowerRoman"/>
      <w:lvlText w:val="%3"/>
      <w:lvlJc w:val="left"/>
      <w:pPr>
        <w:ind w:left="55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EAA2958">
      <w:start w:val="1"/>
      <w:numFmt w:val="decimal"/>
      <w:lvlText w:val="%4"/>
      <w:lvlJc w:val="left"/>
      <w:pPr>
        <w:ind w:left="63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92C29DE">
      <w:start w:val="1"/>
      <w:numFmt w:val="lowerLetter"/>
      <w:lvlText w:val="%5"/>
      <w:lvlJc w:val="left"/>
      <w:pPr>
        <w:ind w:left="702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C0AD878">
      <w:start w:val="1"/>
      <w:numFmt w:val="lowerRoman"/>
      <w:lvlText w:val="%6"/>
      <w:lvlJc w:val="left"/>
      <w:pPr>
        <w:ind w:left="774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1B2CA87A">
      <w:start w:val="1"/>
      <w:numFmt w:val="decimal"/>
      <w:lvlText w:val="%7"/>
      <w:lvlJc w:val="left"/>
      <w:pPr>
        <w:ind w:left="84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DE9C934A">
      <w:start w:val="1"/>
      <w:numFmt w:val="lowerLetter"/>
      <w:lvlText w:val="%8"/>
      <w:lvlJc w:val="left"/>
      <w:pPr>
        <w:ind w:left="91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4600512">
      <w:start w:val="1"/>
      <w:numFmt w:val="lowerRoman"/>
      <w:lvlText w:val="%9"/>
      <w:lvlJc w:val="left"/>
      <w:pPr>
        <w:ind w:left="99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65" w15:restartNumberingAfterBreak="0">
    <w:nsid w:val="453126A3"/>
    <w:multiLevelType w:val="hybridMultilevel"/>
    <w:tmpl w:val="73448B8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66" w15:restartNumberingAfterBreak="0">
    <w:nsid w:val="4C17453A"/>
    <w:multiLevelType w:val="hybridMultilevel"/>
    <w:tmpl w:val="48820722"/>
    <w:lvl w:ilvl="0" w:tplc="ED662A30">
      <w:start w:val="1"/>
      <w:numFmt w:val="lowerLetter"/>
      <w:lvlText w:val="(%1)"/>
      <w:lvlJc w:val="left"/>
      <w:pPr>
        <w:ind w:left="720" w:hanging="360"/>
      </w:pPr>
      <w:rPr>
        <w:rFonts w:ascii="Times New Roman" w:hAnsi="Times New Roman" w:cs="Times New Roman" w:hint="default"/>
        <w:b/>
        <w:sz w:val="20"/>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4E927A22"/>
    <w:multiLevelType w:val="hybridMultilevel"/>
    <w:tmpl w:val="84869A96"/>
    <w:lvl w:ilvl="0" w:tplc="9C38C0E4">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B7799A"/>
    <w:multiLevelType w:val="hybridMultilevel"/>
    <w:tmpl w:val="D2E8C006"/>
    <w:lvl w:ilvl="0" w:tplc="5C84B6DC">
      <w:start w:val="1"/>
      <w:numFmt w:val="lowerLetter"/>
      <w:lvlText w:val="(%1)"/>
      <w:lvlJc w:val="left"/>
      <w:pPr>
        <w:ind w:left="1432" w:firstLine="0"/>
      </w:pPr>
      <w:rPr>
        <w:rFonts w:ascii="Times New Roman" w:eastAsia="Times New Roman" w:hAnsi="Times New Roman" w:cs="Times New Roman"/>
        <w:b w:val="0"/>
        <w:bCs/>
        <w:i w:val="0"/>
        <w:strike w:val="0"/>
        <w:dstrike w:val="0"/>
        <w:color w:val="000000"/>
        <w:sz w:val="20"/>
        <w:szCs w:val="20"/>
        <w:u w:val="none"/>
        <w:effect w:val="none"/>
        <w:bdr w:val="none" w:sz="0" w:space="0" w:color="auto" w:frame="1"/>
        <w:vertAlign w:val="baseline"/>
      </w:rPr>
    </w:lvl>
    <w:lvl w:ilvl="1" w:tplc="2EBE8D94">
      <w:start w:val="1"/>
      <w:numFmt w:val="lowerLetter"/>
      <w:lvlText w:val="%2"/>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0FB60834">
      <w:start w:val="1"/>
      <w:numFmt w:val="lowerRoman"/>
      <w:lvlText w:val="%3"/>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EC6A2560">
      <w:start w:val="1"/>
      <w:numFmt w:val="decimal"/>
      <w:lvlText w:val="%4"/>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3E862484">
      <w:start w:val="1"/>
      <w:numFmt w:val="lowerLetter"/>
      <w:lvlText w:val="%5"/>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203A969A">
      <w:start w:val="1"/>
      <w:numFmt w:val="lowerRoman"/>
      <w:lvlText w:val="%6"/>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3FBC8EA2">
      <w:start w:val="1"/>
      <w:numFmt w:val="decimal"/>
      <w:lvlText w:val="%7"/>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49F80D18">
      <w:start w:val="1"/>
      <w:numFmt w:val="lowerLetter"/>
      <w:lvlText w:val="%8"/>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D5025E10">
      <w:start w:val="1"/>
      <w:numFmt w:val="lowerRoman"/>
      <w:lvlText w:val="%9"/>
      <w:lvlJc w:val="left"/>
      <w:pPr>
        <w:ind w:left="72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70" w15:restartNumberingAfterBreak="0">
    <w:nsid w:val="4F7F782F"/>
    <w:multiLevelType w:val="hybridMultilevel"/>
    <w:tmpl w:val="383262BA"/>
    <w:lvl w:ilvl="0" w:tplc="D5C43C8E">
      <w:start w:val="1"/>
      <w:numFmt w:val="lowerLetter"/>
      <w:lvlText w:val="(%1)"/>
      <w:lvlJc w:val="left"/>
      <w:pPr>
        <w:ind w:left="1432" w:firstLine="0"/>
      </w:pPr>
      <w:rPr>
        <w:rFonts w:ascii="Times New Roman" w:eastAsia="Times New Roman" w:hAnsi="Times New Roman" w:cs="Times New Roman"/>
        <w:b w:val="0"/>
        <w:bCs/>
        <w:i w:val="0"/>
        <w:strike w:val="0"/>
        <w:dstrike w:val="0"/>
        <w:color w:val="000000"/>
        <w:sz w:val="20"/>
        <w:szCs w:val="20"/>
        <w:u w:val="none"/>
        <w:effect w:val="none"/>
        <w:bdr w:val="none" w:sz="0" w:space="0" w:color="auto" w:frame="1"/>
        <w:vertAlign w:val="baseline"/>
      </w:rPr>
    </w:lvl>
    <w:lvl w:ilvl="1" w:tplc="0E565E9C">
      <w:start w:val="1"/>
      <w:numFmt w:val="lowerLetter"/>
      <w:lvlText w:val="%2"/>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205CAE28">
      <w:start w:val="1"/>
      <w:numFmt w:val="lowerRoman"/>
      <w:lvlText w:val="%3"/>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B0983ED0">
      <w:start w:val="1"/>
      <w:numFmt w:val="decimal"/>
      <w:lvlText w:val="%4"/>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1BC0DAE0">
      <w:start w:val="1"/>
      <w:numFmt w:val="lowerLetter"/>
      <w:lvlText w:val="%5"/>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2EAC498">
      <w:start w:val="1"/>
      <w:numFmt w:val="lowerRoman"/>
      <w:lvlText w:val="%6"/>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753E4988">
      <w:start w:val="1"/>
      <w:numFmt w:val="decimal"/>
      <w:lvlText w:val="%7"/>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5B2E6E40">
      <w:start w:val="1"/>
      <w:numFmt w:val="lowerLetter"/>
      <w:lvlText w:val="%8"/>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EAC40AEE">
      <w:start w:val="1"/>
      <w:numFmt w:val="lowerRoman"/>
      <w:lvlText w:val="%9"/>
      <w:lvlJc w:val="left"/>
      <w:pPr>
        <w:ind w:left="72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71" w15:restartNumberingAfterBreak="0">
    <w:nsid w:val="5078627D"/>
    <w:multiLevelType w:val="hybridMultilevel"/>
    <w:tmpl w:val="A244980E"/>
    <w:lvl w:ilvl="0" w:tplc="6BC02C48">
      <w:start w:val="1"/>
      <w:numFmt w:val="lowerLetter"/>
      <w:lvlText w:val="(%1)"/>
      <w:lvlJc w:val="left"/>
      <w:pPr>
        <w:ind w:left="126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51C37577"/>
    <w:multiLevelType w:val="hybridMultilevel"/>
    <w:tmpl w:val="5B869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20A1101"/>
    <w:multiLevelType w:val="hybridMultilevel"/>
    <w:tmpl w:val="FD265CD8"/>
    <w:lvl w:ilvl="0" w:tplc="588207DA">
      <w:start w:val="1"/>
      <w:numFmt w:val="decimal"/>
      <w:lvlText w:val="%1."/>
      <w:lvlJc w:val="left"/>
      <w:pPr>
        <w:ind w:left="72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36931F7"/>
    <w:multiLevelType w:val="hybridMultilevel"/>
    <w:tmpl w:val="408C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1742BD"/>
    <w:multiLevelType w:val="hybridMultilevel"/>
    <w:tmpl w:val="15A83B4E"/>
    <w:lvl w:ilvl="0" w:tplc="6A00085E">
      <w:start w:val="1"/>
      <w:numFmt w:val="lowerLetter"/>
      <w:lvlText w:val="(%1)"/>
      <w:lvlJc w:val="left"/>
      <w:pPr>
        <w:ind w:left="1432" w:firstLine="0"/>
      </w:pPr>
      <w:rPr>
        <w:rFonts w:ascii="Times New Roman" w:eastAsia="Times New Roman" w:hAnsi="Times New Roman" w:cs="Times New Roman"/>
        <w:b w:val="0"/>
        <w:bCs/>
        <w:i w:val="0"/>
        <w:strike w:val="0"/>
        <w:dstrike w:val="0"/>
        <w:color w:val="000000"/>
        <w:sz w:val="20"/>
        <w:szCs w:val="20"/>
        <w:u w:val="none" w:color="000000"/>
        <w:effect w:val="none"/>
        <w:bdr w:val="none" w:sz="0" w:space="0" w:color="auto" w:frame="1"/>
        <w:vertAlign w:val="baseline"/>
      </w:rPr>
    </w:lvl>
    <w:lvl w:ilvl="1" w:tplc="A198CDC8">
      <w:start w:val="1"/>
      <w:numFmt w:val="lowerLetter"/>
      <w:lvlText w:val="%2"/>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1AF0D60C">
      <w:start w:val="1"/>
      <w:numFmt w:val="lowerRoman"/>
      <w:lvlText w:val="%3"/>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193A182A">
      <w:start w:val="1"/>
      <w:numFmt w:val="decimal"/>
      <w:lvlText w:val="%4"/>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40FA4900">
      <w:start w:val="1"/>
      <w:numFmt w:val="lowerLetter"/>
      <w:lvlText w:val="%5"/>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D3BA1AE2">
      <w:start w:val="1"/>
      <w:numFmt w:val="lowerRoman"/>
      <w:lvlText w:val="%6"/>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AEF46992">
      <w:start w:val="1"/>
      <w:numFmt w:val="decimal"/>
      <w:lvlText w:val="%7"/>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625A90F4">
      <w:start w:val="1"/>
      <w:numFmt w:val="lowerLetter"/>
      <w:lvlText w:val="%8"/>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6C02141A">
      <w:start w:val="1"/>
      <w:numFmt w:val="lowerRoman"/>
      <w:lvlText w:val="%9"/>
      <w:lvlJc w:val="left"/>
      <w:pPr>
        <w:ind w:left="72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76" w15:restartNumberingAfterBreak="0">
    <w:nsid w:val="5A8C6542"/>
    <w:multiLevelType w:val="hybridMultilevel"/>
    <w:tmpl w:val="DA4E913C"/>
    <w:lvl w:ilvl="0" w:tplc="BF4A1C10">
      <w:start w:val="6"/>
      <w:numFmt w:val="lowerLetter"/>
      <w:lvlText w:val="(%1)"/>
      <w:lvlJc w:val="left"/>
      <w:pPr>
        <w:ind w:left="1080" w:hanging="360"/>
      </w:pPr>
      <w:rPr>
        <w:rFonts w:cs="Times New Roman" w:hint="default"/>
        <w:b w:val="0"/>
        <w:strike w:val="0"/>
        <w:dstrike w:val="0"/>
        <w:u w:val="none"/>
        <w:effect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77" w15:restartNumberingAfterBreak="0">
    <w:nsid w:val="5AEA1230"/>
    <w:multiLevelType w:val="hybridMultilevel"/>
    <w:tmpl w:val="FE2C7444"/>
    <w:lvl w:ilvl="0" w:tplc="A99A185A">
      <w:start w:val="5"/>
      <w:numFmt w:val="lowerLetter"/>
      <w:lvlText w:val="(%1)"/>
      <w:lvlJc w:val="left"/>
      <w:pPr>
        <w:ind w:left="1440" w:firstLine="0"/>
      </w:pPr>
      <w:rPr>
        <w:rFonts w:ascii="Times New Roman" w:hAnsi="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841881"/>
    <w:multiLevelType w:val="hybridMultilevel"/>
    <w:tmpl w:val="94DAFA6E"/>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9"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80"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1" w15:restartNumberingAfterBreak="0">
    <w:nsid w:val="5EE83279"/>
    <w:multiLevelType w:val="hybridMultilevel"/>
    <w:tmpl w:val="30C6AB5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2" w15:restartNumberingAfterBreak="0">
    <w:nsid w:val="5F3E21D6"/>
    <w:multiLevelType w:val="hybridMultilevel"/>
    <w:tmpl w:val="690E9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0C94B96"/>
    <w:multiLevelType w:val="hybridMultilevel"/>
    <w:tmpl w:val="2B4202A6"/>
    <w:lvl w:ilvl="0" w:tplc="D346CBB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02CCA3CE">
      <w:start w:val="1"/>
      <w:numFmt w:val="lowerLetter"/>
      <w:lvlText w:val="%2"/>
      <w:lvlJc w:val="left"/>
      <w:pPr>
        <w:ind w:left="16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B9966198">
      <w:start w:val="1"/>
      <w:numFmt w:val="lowerRoman"/>
      <w:lvlText w:val="%3"/>
      <w:lvlJc w:val="left"/>
      <w:pPr>
        <w:ind w:left="23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8ECC956">
      <w:start w:val="1"/>
      <w:numFmt w:val="decimal"/>
      <w:lvlText w:val="%4"/>
      <w:lvlJc w:val="left"/>
      <w:pPr>
        <w:ind w:left="30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91DABCA6">
      <w:start w:val="1"/>
      <w:numFmt w:val="lowerLetter"/>
      <w:lvlText w:val="%5"/>
      <w:lvlJc w:val="left"/>
      <w:pPr>
        <w:ind w:left="37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D3E45CAE">
      <w:start w:val="1"/>
      <w:numFmt w:val="lowerRoman"/>
      <w:lvlText w:val="%6"/>
      <w:lvlJc w:val="left"/>
      <w:pPr>
        <w:ind w:left="45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D3DE913C">
      <w:start w:val="1"/>
      <w:numFmt w:val="decimal"/>
      <w:lvlText w:val="%7"/>
      <w:lvlJc w:val="left"/>
      <w:pPr>
        <w:ind w:left="52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2CA2B8B2">
      <w:start w:val="1"/>
      <w:numFmt w:val="lowerLetter"/>
      <w:lvlText w:val="%8"/>
      <w:lvlJc w:val="left"/>
      <w:pPr>
        <w:ind w:left="59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24A89A6A">
      <w:start w:val="1"/>
      <w:numFmt w:val="lowerRoman"/>
      <w:lvlText w:val="%9"/>
      <w:lvlJc w:val="left"/>
      <w:pPr>
        <w:ind w:left="66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84" w15:restartNumberingAfterBreak="0">
    <w:nsid w:val="60E33DE5"/>
    <w:multiLevelType w:val="hybridMultilevel"/>
    <w:tmpl w:val="68447F62"/>
    <w:lvl w:ilvl="0" w:tplc="0409000B">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5" w15:restartNumberingAfterBreak="0">
    <w:nsid w:val="6610312A"/>
    <w:multiLevelType w:val="hybridMultilevel"/>
    <w:tmpl w:val="C958B5DA"/>
    <w:lvl w:ilvl="0" w:tplc="BF3257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EF5308"/>
    <w:multiLevelType w:val="hybridMultilevel"/>
    <w:tmpl w:val="F55EE0C8"/>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F222B97C">
      <w:numFmt w:val="bullet"/>
      <w:lvlText w:val="•"/>
      <w:lvlJc w:val="left"/>
      <w:pPr>
        <w:ind w:left="2412" w:hanging="360"/>
      </w:pPr>
      <w:rPr>
        <w:rFonts w:ascii="Times New Roman" w:eastAsia="Calibri" w:hAnsi="Times New Roman" w:cs="Times New Roman"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8" w15:restartNumberingAfterBreak="0">
    <w:nsid w:val="6C391BB5"/>
    <w:multiLevelType w:val="multilevel"/>
    <w:tmpl w:val="0454821C"/>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pStyle w:val="311H1"/>
      <w:lvlText w:val="%1.%2."/>
      <w:lvlJc w:val="left"/>
      <w:pPr>
        <w:ind w:left="2412"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111H2"/>
      <w:lvlText w:val="3.4.2."/>
      <w:lvlJc w:val="left"/>
      <w:pPr>
        <w:ind w:left="167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90" w15:restartNumberingAfterBreak="0">
    <w:nsid w:val="6FC8199E"/>
    <w:multiLevelType w:val="hybridMultilevel"/>
    <w:tmpl w:val="D9926138"/>
    <w:lvl w:ilvl="0" w:tplc="5F7A31CC">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F62217"/>
    <w:multiLevelType w:val="hybridMultilevel"/>
    <w:tmpl w:val="73448B8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92" w15:restartNumberingAfterBreak="0">
    <w:nsid w:val="748F6F4C"/>
    <w:multiLevelType w:val="hybridMultilevel"/>
    <w:tmpl w:val="F4AE822A"/>
    <w:lvl w:ilvl="0" w:tplc="8B7A46FE">
      <w:start w:val="5"/>
      <w:numFmt w:val="lowerLetter"/>
      <w:lvlText w:val="(%1)"/>
      <w:lvlJc w:val="left"/>
      <w:pPr>
        <w:ind w:left="1440" w:firstLine="0"/>
      </w:pPr>
      <w:rPr>
        <w:rFonts w:ascii="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D71BB7"/>
    <w:multiLevelType w:val="hybridMultilevel"/>
    <w:tmpl w:val="A3B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0225D4"/>
    <w:multiLevelType w:val="hybridMultilevel"/>
    <w:tmpl w:val="6ED69C90"/>
    <w:lvl w:ilvl="0" w:tplc="B714321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A62A164A">
      <w:start w:val="1"/>
      <w:numFmt w:val="lowerLetter"/>
      <w:lvlText w:val="%2"/>
      <w:lvlJc w:val="left"/>
      <w:pPr>
        <w:ind w:left="18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70643F3E">
      <w:start w:val="1"/>
      <w:numFmt w:val="lowerRoman"/>
      <w:lvlText w:val="%3"/>
      <w:lvlJc w:val="left"/>
      <w:pPr>
        <w:ind w:left="25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A3A2F50C">
      <w:start w:val="1"/>
      <w:numFmt w:val="decimal"/>
      <w:lvlText w:val="%4"/>
      <w:lvlJc w:val="left"/>
      <w:pPr>
        <w:ind w:left="32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5F0CC390">
      <w:start w:val="1"/>
      <w:numFmt w:val="lowerLetter"/>
      <w:lvlText w:val="%5"/>
      <w:lvlJc w:val="left"/>
      <w:pPr>
        <w:ind w:left="39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0122D38E">
      <w:start w:val="1"/>
      <w:numFmt w:val="lowerRoman"/>
      <w:lvlText w:val="%6"/>
      <w:lvlJc w:val="left"/>
      <w:pPr>
        <w:ind w:left="46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33C01DA">
      <w:start w:val="1"/>
      <w:numFmt w:val="decimal"/>
      <w:lvlText w:val="%7"/>
      <w:lvlJc w:val="left"/>
      <w:pPr>
        <w:ind w:left="54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8206B9DA">
      <w:start w:val="1"/>
      <w:numFmt w:val="lowerLetter"/>
      <w:lvlText w:val="%8"/>
      <w:lvlJc w:val="left"/>
      <w:pPr>
        <w:ind w:left="61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73DAEADC">
      <w:start w:val="1"/>
      <w:numFmt w:val="lowerRoman"/>
      <w:lvlText w:val="%9"/>
      <w:lvlJc w:val="left"/>
      <w:pPr>
        <w:ind w:left="68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95"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96" w15:restartNumberingAfterBreak="0">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97" w15:restartNumberingAfterBreak="0">
    <w:nsid w:val="7E362513"/>
    <w:multiLevelType w:val="hybridMultilevel"/>
    <w:tmpl w:val="AE0A616C"/>
    <w:lvl w:ilvl="0" w:tplc="F88481E4">
      <w:start w:val="1"/>
      <w:numFmt w:val="lowerLetter"/>
      <w:lvlText w:val="(%1)"/>
      <w:lvlJc w:val="left"/>
      <w:pPr>
        <w:ind w:left="1064" w:firstLine="0"/>
      </w:pPr>
      <w:rPr>
        <w:rFonts w:ascii="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num w:numId="1">
    <w:abstractNumId w:val="61"/>
  </w:num>
  <w:num w:numId="2">
    <w:abstractNumId w:val="53"/>
  </w:num>
  <w:num w:numId="3">
    <w:abstractNumId w:val="95"/>
  </w:num>
  <w:num w:numId="4">
    <w:abstractNumId w:val="39"/>
  </w:num>
  <w:num w:numId="5">
    <w:abstractNumId w:val="35"/>
  </w:num>
  <w:num w:numId="6">
    <w:abstractNumId w:val="79"/>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0"/>
  </w:num>
  <w:num w:numId="10">
    <w:abstractNumId w:val="8"/>
  </w:num>
  <w:num w:numId="11">
    <w:abstractNumId w:val="6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5"/>
  </w:num>
  <w:num w:numId="21">
    <w:abstractNumId w:val="60"/>
  </w:num>
  <w:num w:numId="22">
    <w:abstractNumId w:val="88"/>
  </w:num>
  <w:num w:numId="23">
    <w:abstractNumId w:val="34"/>
  </w:num>
  <w:num w:numId="24">
    <w:abstractNumId w:val="17"/>
  </w:num>
  <w:num w:numId="25">
    <w:abstractNumId w:val="73"/>
  </w:num>
  <w:num w:numId="26">
    <w:abstractNumId w:val="47"/>
  </w:num>
  <w:num w:numId="27">
    <w:abstractNumId w:val="71"/>
  </w:num>
  <w:num w:numId="28">
    <w:abstractNumId w:val="24"/>
  </w:num>
  <w:num w:numId="29">
    <w:abstractNumId w:val="23"/>
  </w:num>
  <w:num w:numId="30">
    <w:abstractNumId w:val="18"/>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0"/>
          <w:szCs w:val="20"/>
        </w:rPr>
      </w:lvl>
    </w:lvlOverride>
    <w:lvlOverride w:ilvl="2">
      <w:lvl w:ilvl="2">
        <w:start w:val="1"/>
        <w:numFmt w:val="decimal"/>
        <w:lvlText w:val="%1.%2.%3."/>
        <w:lvlJc w:val="left"/>
        <w:pPr>
          <w:ind w:left="1296" w:hanging="936"/>
        </w:pPr>
        <w:rPr>
          <w:rFonts w:ascii="Times New Roman Bold" w:hAnsi="Times New Roman Bold" w:hint="default"/>
          <w:b/>
          <w:i w:val="0"/>
          <w:sz w:val="20"/>
          <w:szCs w:val="20"/>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1">
    <w:abstractNumId w:val="48"/>
  </w:num>
  <w:num w:numId="32">
    <w:abstractNumId w:val="10"/>
  </w:num>
  <w:num w:numId="33">
    <w:abstractNumId w:val="18"/>
  </w:num>
  <w:num w:numId="34">
    <w:abstractNumId w:val="93"/>
  </w:num>
  <w:num w:numId="35">
    <w:abstractNumId w:val="89"/>
  </w:num>
  <w:num w:numId="36">
    <w:abstractNumId w:val="96"/>
  </w:num>
  <w:num w:numId="37">
    <w:abstractNumId w:val="31"/>
  </w:num>
  <w:num w:numId="38">
    <w:abstractNumId w:val="43"/>
  </w:num>
  <w:num w:numId="39">
    <w:abstractNumId w:val="84"/>
  </w:num>
  <w:num w:numId="40">
    <w:abstractNumId w:val="58"/>
  </w:num>
  <w:num w:numId="41">
    <w:abstractNumId w:val="40"/>
  </w:num>
  <w:num w:numId="42">
    <w:abstractNumId w:val="66"/>
  </w:num>
  <w:num w:numId="43">
    <w:abstractNumId w:val="74"/>
  </w:num>
  <w:num w:numId="44">
    <w:abstractNumId w:val="50"/>
  </w:num>
  <w:num w:numId="45">
    <w:abstractNumId w:val="87"/>
  </w:num>
  <w:num w:numId="46">
    <w:abstractNumId w:val="62"/>
  </w:num>
  <w:num w:numId="47">
    <w:abstractNumId w:val="82"/>
  </w:num>
  <w:num w:numId="48">
    <w:abstractNumId w:val="63"/>
  </w:num>
  <w:num w:numId="49">
    <w:abstractNumId w:val="16"/>
  </w:num>
  <w:num w:numId="50">
    <w:abstractNumId w:val="81"/>
  </w:num>
  <w:num w:numId="51">
    <w:abstractNumId w:val="22"/>
  </w:num>
  <w:num w:numId="52">
    <w:abstractNumId w:val="28"/>
  </w:num>
  <w:num w:numId="53">
    <w:abstractNumId w:val="21"/>
  </w:num>
  <w:num w:numId="54">
    <w:abstractNumId w:val="9"/>
  </w:num>
  <w:num w:numId="55">
    <w:abstractNumId w:val="65"/>
  </w:num>
  <w:num w:numId="56">
    <w:abstractNumId w:val="59"/>
  </w:num>
  <w:num w:numId="57">
    <w:abstractNumId w:val="68"/>
  </w:num>
  <w:num w:numId="58">
    <w:abstractNumId w:val="20"/>
  </w:num>
  <w:num w:numId="59">
    <w:abstractNumId w:val="92"/>
  </w:num>
  <w:num w:numId="60">
    <w:abstractNumId w:val="26"/>
  </w:num>
  <w:num w:numId="61">
    <w:abstractNumId w:val="90"/>
  </w:num>
  <w:num w:numId="62">
    <w:abstractNumId w:val="77"/>
  </w:num>
  <w:num w:numId="63">
    <w:abstractNumId w:val="15"/>
  </w:num>
  <w:num w:numId="64">
    <w:abstractNumId w:val="76"/>
  </w:num>
  <w:num w:numId="65">
    <w:abstractNumId w:val="41"/>
  </w:num>
  <w:num w:numId="66">
    <w:abstractNumId w:val="44"/>
  </w:num>
  <w:num w:numId="67">
    <w:abstractNumId w:val="86"/>
  </w:num>
  <w:num w:numId="68">
    <w:abstractNumId w:val="72"/>
  </w:num>
  <w:num w:numId="69">
    <w:abstractNumId w:val="78"/>
  </w:num>
  <w:num w:numId="70">
    <w:abstractNumId w:val="32"/>
  </w:num>
  <w:num w:numId="71">
    <w:abstractNumId w:val="65"/>
  </w:num>
  <w:num w:numId="72">
    <w:abstractNumId w:val="27"/>
  </w:num>
  <w:num w:numId="73">
    <w:abstractNumId w:val="30"/>
  </w:num>
  <w:num w:numId="74">
    <w:abstractNumId w:val="25"/>
  </w:num>
  <w:num w:numId="75">
    <w:abstractNumId w:val="36"/>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5"/>
  </w:num>
  <w:num w:numId="90">
    <w:abstractNumId w:val="57"/>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num>
  <w:num w:numId="96">
    <w:abstractNumId w:val="83"/>
  </w:num>
  <w:num w:numId="97">
    <w:abstractNumId w:val="64"/>
  </w:num>
  <w:num w:numId="98">
    <w:abstractNumId w:val="46"/>
  </w:num>
  <w:num w:numId="99">
    <w:abstractNumId w:val="13"/>
  </w:num>
  <w:num w:numId="100">
    <w:abstractNumId w:val="91"/>
  </w:num>
  <w:num w:numId="101">
    <w:abstractNumId w:val="54"/>
  </w:num>
  <w:num w:numId="102">
    <w:abstractNumId w:val="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8673"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NqsFAEoQB9ktAAAA"/>
  </w:docVars>
  <w:rsids>
    <w:rsidRoot w:val="00A12E0D"/>
    <w:rsid w:val="0000008F"/>
    <w:rsid w:val="000006B8"/>
    <w:rsid w:val="00000979"/>
    <w:rsid w:val="000010C1"/>
    <w:rsid w:val="00002773"/>
    <w:rsid w:val="00004298"/>
    <w:rsid w:val="0000443B"/>
    <w:rsid w:val="000044CE"/>
    <w:rsid w:val="0000543A"/>
    <w:rsid w:val="00005885"/>
    <w:rsid w:val="00005B3F"/>
    <w:rsid w:val="00005EC3"/>
    <w:rsid w:val="00006761"/>
    <w:rsid w:val="0000772E"/>
    <w:rsid w:val="00007E3C"/>
    <w:rsid w:val="000102C9"/>
    <w:rsid w:val="00010309"/>
    <w:rsid w:val="00010F22"/>
    <w:rsid w:val="0001154E"/>
    <w:rsid w:val="000122F0"/>
    <w:rsid w:val="000123D3"/>
    <w:rsid w:val="000125E9"/>
    <w:rsid w:val="000126FA"/>
    <w:rsid w:val="0001283A"/>
    <w:rsid w:val="000131C1"/>
    <w:rsid w:val="000132BC"/>
    <w:rsid w:val="00013593"/>
    <w:rsid w:val="00013D11"/>
    <w:rsid w:val="0001432E"/>
    <w:rsid w:val="00014FF3"/>
    <w:rsid w:val="0001538E"/>
    <w:rsid w:val="000154EB"/>
    <w:rsid w:val="00016C3E"/>
    <w:rsid w:val="00016E46"/>
    <w:rsid w:val="00017394"/>
    <w:rsid w:val="000177CC"/>
    <w:rsid w:val="000178E3"/>
    <w:rsid w:val="000208ED"/>
    <w:rsid w:val="00020A63"/>
    <w:rsid w:val="00021045"/>
    <w:rsid w:val="00021370"/>
    <w:rsid w:val="0002151B"/>
    <w:rsid w:val="0002165E"/>
    <w:rsid w:val="000218BC"/>
    <w:rsid w:val="00022064"/>
    <w:rsid w:val="000224E8"/>
    <w:rsid w:val="00022A1A"/>
    <w:rsid w:val="00022AE7"/>
    <w:rsid w:val="00022F42"/>
    <w:rsid w:val="00022FCB"/>
    <w:rsid w:val="00023C2A"/>
    <w:rsid w:val="00023D2E"/>
    <w:rsid w:val="00023E63"/>
    <w:rsid w:val="000251D2"/>
    <w:rsid w:val="000252CF"/>
    <w:rsid w:val="00025374"/>
    <w:rsid w:val="0002547A"/>
    <w:rsid w:val="000257D4"/>
    <w:rsid w:val="00025C12"/>
    <w:rsid w:val="00026722"/>
    <w:rsid w:val="0002685D"/>
    <w:rsid w:val="00026A66"/>
    <w:rsid w:val="00026E33"/>
    <w:rsid w:val="00026E93"/>
    <w:rsid w:val="00026EFE"/>
    <w:rsid w:val="00027266"/>
    <w:rsid w:val="00027B2A"/>
    <w:rsid w:val="00027D05"/>
    <w:rsid w:val="00027DA7"/>
    <w:rsid w:val="00030FAB"/>
    <w:rsid w:val="00031160"/>
    <w:rsid w:val="00032971"/>
    <w:rsid w:val="00032A72"/>
    <w:rsid w:val="0003330D"/>
    <w:rsid w:val="0003331E"/>
    <w:rsid w:val="00033358"/>
    <w:rsid w:val="00033965"/>
    <w:rsid w:val="00033E53"/>
    <w:rsid w:val="00034772"/>
    <w:rsid w:val="00034AE8"/>
    <w:rsid w:val="000350CA"/>
    <w:rsid w:val="000356D4"/>
    <w:rsid w:val="00035942"/>
    <w:rsid w:val="00035B0B"/>
    <w:rsid w:val="00035CE8"/>
    <w:rsid w:val="00036902"/>
    <w:rsid w:val="00036BB4"/>
    <w:rsid w:val="00036C53"/>
    <w:rsid w:val="000370E4"/>
    <w:rsid w:val="00037A39"/>
    <w:rsid w:val="00037B89"/>
    <w:rsid w:val="000401D1"/>
    <w:rsid w:val="00040792"/>
    <w:rsid w:val="00040840"/>
    <w:rsid w:val="00041225"/>
    <w:rsid w:val="00041E04"/>
    <w:rsid w:val="000428B4"/>
    <w:rsid w:val="00042AAE"/>
    <w:rsid w:val="00046A81"/>
    <w:rsid w:val="00047127"/>
    <w:rsid w:val="00047442"/>
    <w:rsid w:val="000477D4"/>
    <w:rsid w:val="0005052B"/>
    <w:rsid w:val="00050CBB"/>
    <w:rsid w:val="00051199"/>
    <w:rsid w:val="00051489"/>
    <w:rsid w:val="00052354"/>
    <w:rsid w:val="00052C7A"/>
    <w:rsid w:val="000530E4"/>
    <w:rsid w:val="000535CA"/>
    <w:rsid w:val="000540E4"/>
    <w:rsid w:val="00054372"/>
    <w:rsid w:val="000548CC"/>
    <w:rsid w:val="00054F06"/>
    <w:rsid w:val="0005507D"/>
    <w:rsid w:val="00055D56"/>
    <w:rsid w:val="00057007"/>
    <w:rsid w:val="00057229"/>
    <w:rsid w:val="000573DB"/>
    <w:rsid w:val="00060085"/>
    <w:rsid w:val="0006045C"/>
    <w:rsid w:val="000610B5"/>
    <w:rsid w:val="00061891"/>
    <w:rsid w:val="00062274"/>
    <w:rsid w:val="00062ABA"/>
    <w:rsid w:val="000636EC"/>
    <w:rsid w:val="0006419F"/>
    <w:rsid w:val="00065683"/>
    <w:rsid w:val="00065A05"/>
    <w:rsid w:val="00066D8E"/>
    <w:rsid w:val="00067AF4"/>
    <w:rsid w:val="00067E4C"/>
    <w:rsid w:val="00067F21"/>
    <w:rsid w:val="00067F80"/>
    <w:rsid w:val="0007015D"/>
    <w:rsid w:val="0007064E"/>
    <w:rsid w:val="00070851"/>
    <w:rsid w:val="00070D52"/>
    <w:rsid w:val="00071104"/>
    <w:rsid w:val="0007152D"/>
    <w:rsid w:val="00071572"/>
    <w:rsid w:val="000728BF"/>
    <w:rsid w:val="00072DBA"/>
    <w:rsid w:val="00073641"/>
    <w:rsid w:val="00073E2E"/>
    <w:rsid w:val="000744C7"/>
    <w:rsid w:val="000745A9"/>
    <w:rsid w:val="00075398"/>
    <w:rsid w:val="00076640"/>
    <w:rsid w:val="00076A1F"/>
    <w:rsid w:val="0007743B"/>
    <w:rsid w:val="00077527"/>
    <w:rsid w:val="00077B5C"/>
    <w:rsid w:val="00077CC5"/>
    <w:rsid w:val="0008014E"/>
    <w:rsid w:val="000802E7"/>
    <w:rsid w:val="000803DF"/>
    <w:rsid w:val="000808AB"/>
    <w:rsid w:val="00080EAD"/>
    <w:rsid w:val="000813DF"/>
    <w:rsid w:val="0008151A"/>
    <w:rsid w:val="00081C62"/>
    <w:rsid w:val="000822AD"/>
    <w:rsid w:val="0008410C"/>
    <w:rsid w:val="00084640"/>
    <w:rsid w:val="000848AC"/>
    <w:rsid w:val="00084D42"/>
    <w:rsid w:val="00085352"/>
    <w:rsid w:val="0008567B"/>
    <w:rsid w:val="00085BDB"/>
    <w:rsid w:val="00086CE3"/>
    <w:rsid w:val="000872C0"/>
    <w:rsid w:val="000873EF"/>
    <w:rsid w:val="00090920"/>
    <w:rsid w:val="00091684"/>
    <w:rsid w:val="00091A49"/>
    <w:rsid w:val="0009251F"/>
    <w:rsid w:val="00092E46"/>
    <w:rsid w:val="000937B8"/>
    <w:rsid w:val="0009402A"/>
    <w:rsid w:val="00094450"/>
    <w:rsid w:val="000946F4"/>
    <w:rsid w:val="00094824"/>
    <w:rsid w:val="00094D1D"/>
    <w:rsid w:val="00095079"/>
    <w:rsid w:val="000953B4"/>
    <w:rsid w:val="000953F0"/>
    <w:rsid w:val="00095590"/>
    <w:rsid w:val="0009570B"/>
    <w:rsid w:val="00095DE0"/>
    <w:rsid w:val="00097D7B"/>
    <w:rsid w:val="000A02E9"/>
    <w:rsid w:val="000A1062"/>
    <w:rsid w:val="000A18B4"/>
    <w:rsid w:val="000A1C46"/>
    <w:rsid w:val="000A2712"/>
    <w:rsid w:val="000A382C"/>
    <w:rsid w:val="000A3B22"/>
    <w:rsid w:val="000A3E79"/>
    <w:rsid w:val="000A4637"/>
    <w:rsid w:val="000A4716"/>
    <w:rsid w:val="000A4892"/>
    <w:rsid w:val="000A5E4A"/>
    <w:rsid w:val="000A6268"/>
    <w:rsid w:val="000A6363"/>
    <w:rsid w:val="000A653B"/>
    <w:rsid w:val="000A67C7"/>
    <w:rsid w:val="000A6C4B"/>
    <w:rsid w:val="000A6EB5"/>
    <w:rsid w:val="000A6EDD"/>
    <w:rsid w:val="000A7592"/>
    <w:rsid w:val="000A7B7F"/>
    <w:rsid w:val="000A7DB4"/>
    <w:rsid w:val="000B006C"/>
    <w:rsid w:val="000B0082"/>
    <w:rsid w:val="000B02E1"/>
    <w:rsid w:val="000B0412"/>
    <w:rsid w:val="000B092E"/>
    <w:rsid w:val="000B0D04"/>
    <w:rsid w:val="000B0DC5"/>
    <w:rsid w:val="000B1024"/>
    <w:rsid w:val="000B16D9"/>
    <w:rsid w:val="000B1B57"/>
    <w:rsid w:val="000B2416"/>
    <w:rsid w:val="000B3329"/>
    <w:rsid w:val="000B3405"/>
    <w:rsid w:val="000B4621"/>
    <w:rsid w:val="000B4B16"/>
    <w:rsid w:val="000B5DBF"/>
    <w:rsid w:val="000B5ED1"/>
    <w:rsid w:val="000B6225"/>
    <w:rsid w:val="000B6387"/>
    <w:rsid w:val="000B667D"/>
    <w:rsid w:val="000B761D"/>
    <w:rsid w:val="000B7E95"/>
    <w:rsid w:val="000B7F8D"/>
    <w:rsid w:val="000C14A0"/>
    <w:rsid w:val="000C247F"/>
    <w:rsid w:val="000C2F06"/>
    <w:rsid w:val="000C3052"/>
    <w:rsid w:val="000C30D7"/>
    <w:rsid w:val="000C3250"/>
    <w:rsid w:val="000C35A4"/>
    <w:rsid w:val="000C3D2E"/>
    <w:rsid w:val="000C4707"/>
    <w:rsid w:val="000C5776"/>
    <w:rsid w:val="000C649B"/>
    <w:rsid w:val="000C64EE"/>
    <w:rsid w:val="000C6CC5"/>
    <w:rsid w:val="000C753E"/>
    <w:rsid w:val="000C7629"/>
    <w:rsid w:val="000C788C"/>
    <w:rsid w:val="000C7B7D"/>
    <w:rsid w:val="000D020A"/>
    <w:rsid w:val="000D08F9"/>
    <w:rsid w:val="000D0AE3"/>
    <w:rsid w:val="000D0DDB"/>
    <w:rsid w:val="000D0F60"/>
    <w:rsid w:val="000D1555"/>
    <w:rsid w:val="000D2550"/>
    <w:rsid w:val="000D29D7"/>
    <w:rsid w:val="000D2C5B"/>
    <w:rsid w:val="000D3017"/>
    <w:rsid w:val="000D3042"/>
    <w:rsid w:val="000D3417"/>
    <w:rsid w:val="000D3520"/>
    <w:rsid w:val="000D3D7C"/>
    <w:rsid w:val="000D4AB2"/>
    <w:rsid w:val="000D4ADC"/>
    <w:rsid w:val="000D4CF3"/>
    <w:rsid w:val="000D544D"/>
    <w:rsid w:val="000D5560"/>
    <w:rsid w:val="000D5F8F"/>
    <w:rsid w:val="000D60A5"/>
    <w:rsid w:val="000D7062"/>
    <w:rsid w:val="000E0139"/>
    <w:rsid w:val="000E01A2"/>
    <w:rsid w:val="000E0201"/>
    <w:rsid w:val="000E0941"/>
    <w:rsid w:val="000E0AE4"/>
    <w:rsid w:val="000E106C"/>
    <w:rsid w:val="000E180E"/>
    <w:rsid w:val="000E19CF"/>
    <w:rsid w:val="000E1B48"/>
    <w:rsid w:val="000E1C6A"/>
    <w:rsid w:val="000E1DE7"/>
    <w:rsid w:val="000E216C"/>
    <w:rsid w:val="000E2214"/>
    <w:rsid w:val="000E22A0"/>
    <w:rsid w:val="000E2DB3"/>
    <w:rsid w:val="000E3196"/>
    <w:rsid w:val="000E38EB"/>
    <w:rsid w:val="000E3A74"/>
    <w:rsid w:val="000E4239"/>
    <w:rsid w:val="000E424F"/>
    <w:rsid w:val="000E4B8E"/>
    <w:rsid w:val="000E588B"/>
    <w:rsid w:val="000E5AC1"/>
    <w:rsid w:val="000E5C64"/>
    <w:rsid w:val="000E5E04"/>
    <w:rsid w:val="000E5F8F"/>
    <w:rsid w:val="000E6636"/>
    <w:rsid w:val="000E7496"/>
    <w:rsid w:val="000E7C78"/>
    <w:rsid w:val="000F02B3"/>
    <w:rsid w:val="000F0A27"/>
    <w:rsid w:val="000F17C2"/>
    <w:rsid w:val="000F18BE"/>
    <w:rsid w:val="000F1EDF"/>
    <w:rsid w:val="000F2B3E"/>
    <w:rsid w:val="000F2B55"/>
    <w:rsid w:val="000F2D78"/>
    <w:rsid w:val="000F4189"/>
    <w:rsid w:val="000F4EB7"/>
    <w:rsid w:val="000F55B3"/>
    <w:rsid w:val="000F6F57"/>
    <w:rsid w:val="000F7953"/>
    <w:rsid w:val="000F7AE5"/>
    <w:rsid w:val="00100945"/>
    <w:rsid w:val="001016F7"/>
    <w:rsid w:val="00101893"/>
    <w:rsid w:val="0010223A"/>
    <w:rsid w:val="001024D7"/>
    <w:rsid w:val="0010263A"/>
    <w:rsid w:val="00103114"/>
    <w:rsid w:val="0010351A"/>
    <w:rsid w:val="001038EB"/>
    <w:rsid w:val="00104305"/>
    <w:rsid w:val="00104AF6"/>
    <w:rsid w:val="0010561A"/>
    <w:rsid w:val="00105655"/>
    <w:rsid w:val="001056B0"/>
    <w:rsid w:val="00105A2C"/>
    <w:rsid w:val="00105E26"/>
    <w:rsid w:val="00105E2E"/>
    <w:rsid w:val="001063FA"/>
    <w:rsid w:val="00106AB5"/>
    <w:rsid w:val="001070BE"/>
    <w:rsid w:val="00107825"/>
    <w:rsid w:val="00107993"/>
    <w:rsid w:val="00107DC0"/>
    <w:rsid w:val="00107E07"/>
    <w:rsid w:val="00110129"/>
    <w:rsid w:val="00110949"/>
    <w:rsid w:val="00110B20"/>
    <w:rsid w:val="00110E84"/>
    <w:rsid w:val="00111824"/>
    <w:rsid w:val="001127CC"/>
    <w:rsid w:val="00112E54"/>
    <w:rsid w:val="00113157"/>
    <w:rsid w:val="0011315C"/>
    <w:rsid w:val="001136BA"/>
    <w:rsid w:val="00113A67"/>
    <w:rsid w:val="001154BC"/>
    <w:rsid w:val="00116107"/>
    <w:rsid w:val="00116D89"/>
    <w:rsid w:val="00116F76"/>
    <w:rsid w:val="00116F96"/>
    <w:rsid w:val="00117011"/>
    <w:rsid w:val="0011799C"/>
    <w:rsid w:val="001201EE"/>
    <w:rsid w:val="0012032B"/>
    <w:rsid w:val="001206F9"/>
    <w:rsid w:val="0012085A"/>
    <w:rsid w:val="001212F8"/>
    <w:rsid w:val="00121624"/>
    <w:rsid w:val="00121994"/>
    <w:rsid w:val="00122363"/>
    <w:rsid w:val="00122464"/>
    <w:rsid w:val="00122B88"/>
    <w:rsid w:val="00122D54"/>
    <w:rsid w:val="00123198"/>
    <w:rsid w:val="00123454"/>
    <w:rsid w:val="00123E2B"/>
    <w:rsid w:val="00123EC8"/>
    <w:rsid w:val="00124827"/>
    <w:rsid w:val="00125018"/>
    <w:rsid w:val="0012505F"/>
    <w:rsid w:val="00125727"/>
    <w:rsid w:val="00125DB7"/>
    <w:rsid w:val="001262E2"/>
    <w:rsid w:val="0012648F"/>
    <w:rsid w:val="00126617"/>
    <w:rsid w:val="00126726"/>
    <w:rsid w:val="00126D59"/>
    <w:rsid w:val="0012775D"/>
    <w:rsid w:val="00130446"/>
    <w:rsid w:val="00130729"/>
    <w:rsid w:val="001313A9"/>
    <w:rsid w:val="00131799"/>
    <w:rsid w:val="001320E4"/>
    <w:rsid w:val="001322D2"/>
    <w:rsid w:val="001324B9"/>
    <w:rsid w:val="001326AB"/>
    <w:rsid w:val="00132E3F"/>
    <w:rsid w:val="00133AA5"/>
    <w:rsid w:val="00133B86"/>
    <w:rsid w:val="001340C3"/>
    <w:rsid w:val="0013443E"/>
    <w:rsid w:val="00134A98"/>
    <w:rsid w:val="0013524A"/>
    <w:rsid w:val="00135B2B"/>
    <w:rsid w:val="00135B5F"/>
    <w:rsid w:val="00136009"/>
    <w:rsid w:val="001362BD"/>
    <w:rsid w:val="00136EB7"/>
    <w:rsid w:val="00136F7F"/>
    <w:rsid w:val="00137245"/>
    <w:rsid w:val="001375E8"/>
    <w:rsid w:val="001377BB"/>
    <w:rsid w:val="001377CD"/>
    <w:rsid w:val="001405B0"/>
    <w:rsid w:val="00140A53"/>
    <w:rsid w:val="00140B35"/>
    <w:rsid w:val="001410C0"/>
    <w:rsid w:val="00141BCF"/>
    <w:rsid w:val="00141D7F"/>
    <w:rsid w:val="001424F8"/>
    <w:rsid w:val="00142A9B"/>
    <w:rsid w:val="00142CF3"/>
    <w:rsid w:val="00143507"/>
    <w:rsid w:val="00144339"/>
    <w:rsid w:val="00144365"/>
    <w:rsid w:val="0014458C"/>
    <w:rsid w:val="00144ACF"/>
    <w:rsid w:val="00144D09"/>
    <w:rsid w:val="00146199"/>
    <w:rsid w:val="001469F6"/>
    <w:rsid w:val="00146DF3"/>
    <w:rsid w:val="00147896"/>
    <w:rsid w:val="001512A3"/>
    <w:rsid w:val="00151474"/>
    <w:rsid w:val="0015193F"/>
    <w:rsid w:val="00151D4E"/>
    <w:rsid w:val="00152216"/>
    <w:rsid w:val="00152452"/>
    <w:rsid w:val="00152550"/>
    <w:rsid w:val="001529DD"/>
    <w:rsid w:val="00152AB5"/>
    <w:rsid w:val="00152AF0"/>
    <w:rsid w:val="00152C01"/>
    <w:rsid w:val="00153A36"/>
    <w:rsid w:val="001548BE"/>
    <w:rsid w:val="001554E1"/>
    <w:rsid w:val="001557C9"/>
    <w:rsid w:val="00155929"/>
    <w:rsid w:val="001559AA"/>
    <w:rsid w:val="001562B7"/>
    <w:rsid w:val="0015642E"/>
    <w:rsid w:val="001565BA"/>
    <w:rsid w:val="001578CA"/>
    <w:rsid w:val="00161BD8"/>
    <w:rsid w:val="00162310"/>
    <w:rsid w:val="001624D3"/>
    <w:rsid w:val="0016337C"/>
    <w:rsid w:val="00163ED8"/>
    <w:rsid w:val="001646FF"/>
    <w:rsid w:val="001648B0"/>
    <w:rsid w:val="0016490E"/>
    <w:rsid w:val="00165BCA"/>
    <w:rsid w:val="00166396"/>
    <w:rsid w:val="0016749B"/>
    <w:rsid w:val="001675E8"/>
    <w:rsid w:val="0016777D"/>
    <w:rsid w:val="00167A5A"/>
    <w:rsid w:val="00167D56"/>
    <w:rsid w:val="00167F12"/>
    <w:rsid w:val="00170092"/>
    <w:rsid w:val="001703EE"/>
    <w:rsid w:val="001706B2"/>
    <w:rsid w:val="00171260"/>
    <w:rsid w:val="00171867"/>
    <w:rsid w:val="00171EA9"/>
    <w:rsid w:val="001724AF"/>
    <w:rsid w:val="0017266C"/>
    <w:rsid w:val="00172A25"/>
    <w:rsid w:val="00173C19"/>
    <w:rsid w:val="00173E17"/>
    <w:rsid w:val="0017488E"/>
    <w:rsid w:val="00174B48"/>
    <w:rsid w:val="00174E0D"/>
    <w:rsid w:val="00175107"/>
    <w:rsid w:val="00175265"/>
    <w:rsid w:val="001757AF"/>
    <w:rsid w:val="00175F57"/>
    <w:rsid w:val="00176002"/>
    <w:rsid w:val="001761ED"/>
    <w:rsid w:val="00176405"/>
    <w:rsid w:val="0017667D"/>
    <w:rsid w:val="00176C18"/>
    <w:rsid w:val="00176F80"/>
    <w:rsid w:val="00177A17"/>
    <w:rsid w:val="00180188"/>
    <w:rsid w:val="0018046C"/>
    <w:rsid w:val="00180559"/>
    <w:rsid w:val="00181F04"/>
    <w:rsid w:val="00182189"/>
    <w:rsid w:val="001824CB"/>
    <w:rsid w:val="00182BC5"/>
    <w:rsid w:val="001831D9"/>
    <w:rsid w:val="0018324E"/>
    <w:rsid w:val="0018357A"/>
    <w:rsid w:val="0018372F"/>
    <w:rsid w:val="0018396C"/>
    <w:rsid w:val="00183B9E"/>
    <w:rsid w:val="00183F7B"/>
    <w:rsid w:val="00183FB7"/>
    <w:rsid w:val="00184052"/>
    <w:rsid w:val="00184C63"/>
    <w:rsid w:val="0018525F"/>
    <w:rsid w:val="001858F7"/>
    <w:rsid w:val="00185BFD"/>
    <w:rsid w:val="00185D8F"/>
    <w:rsid w:val="001862DC"/>
    <w:rsid w:val="00186C22"/>
    <w:rsid w:val="00187D1A"/>
    <w:rsid w:val="001903E1"/>
    <w:rsid w:val="00190533"/>
    <w:rsid w:val="00190FB8"/>
    <w:rsid w:val="001924C0"/>
    <w:rsid w:val="0019279A"/>
    <w:rsid w:val="00192973"/>
    <w:rsid w:val="00194455"/>
    <w:rsid w:val="00194550"/>
    <w:rsid w:val="00194F66"/>
    <w:rsid w:val="00195E9F"/>
    <w:rsid w:val="001960DB"/>
    <w:rsid w:val="00197548"/>
    <w:rsid w:val="00197D3B"/>
    <w:rsid w:val="00197F52"/>
    <w:rsid w:val="001A0039"/>
    <w:rsid w:val="001A027F"/>
    <w:rsid w:val="001A02A6"/>
    <w:rsid w:val="001A0621"/>
    <w:rsid w:val="001A072F"/>
    <w:rsid w:val="001A11BC"/>
    <w:rsid w:val="001A23B5"/>
    <w:rsid w:val="001A2A6E"/>
    <w:rsid w:val="001A3111"/>
    <w:rsid w:val="001A33DE"/>
    <w:rsid w:val="001A36A7"/>
    <w:rsid w:val="001A3BC6"/>
    <w:rsid w:val="001A473F"/>
    <w:rsid w:val="001A4B67"/>
    <w:rsid w:val="001A5315"/>
    <w:rsid w:val="001A537A"/>
    <w:rsid w:val="001A59AD"/>
    <w:rsid w:val="001A67AE"/>
    <w:rsid w:val="001A6F10"/>
    <w:rsid w:val="001A7151"/>
    <w:rsid w:val="001A755F"/>
    <w:rsid w:val="001A7788"/>
    <w:rsid w:val="001A7AA3"/>
    <w:rsid w:val="001B0136"/>
    <w:rsid w:val="001B05B0"/>
    <w:rsid w:val="001B0710"/>
    <w:rsid w:val="001B09EA"/>
    <w:rsid w:val="001B1102"/>
    <w:rsid w:val="001B14A2"/>
    <w:rsid w:val="001B1DBD"/>
    <w:rsid w:val="001B1F61"/>
    <w:rsid w:val="001B2575"/>
    <w:rsid w:val="001B2E80"/>
    <w:rsid w:val="001B3407"/>
    <w:rsid w:val="001B4BE0"/>
    <w:rsid w:val="001B4D58"/>
    <w:rsid w:val="001B4EB6"/>
    <w:rsid w:val="001B4F05"/>
    <w:rsid w:val="001B5628"/>
    <w:rsid w:val="001B5CB7"/>
    <w:rsid w:val="001B5CCF"/>
    <w:rsid w:val="001B5DBA"/>
    <w:rsid w:val="001B71F0"/>
    <w:rsid w:val="001B79DC"/>
    <w:rsid w:val="001C0674"/>
    <w:rsid w:val="001C0D05"/>
    <w:rsid w:val="001C1249"/>
    <w:rsid w:val="001C13CD"/>
    <w:rsid w:val="001C2A19"/>
    <w:rsid w:val="001C2FDA"/>
    <w:rsid w:val="001C3F3F"/>
    <w:rsid w:val="001C428A"/>
    <w:rsid w:val="001C49F0"/>
    <w:rsid w:val="001C51BF"/>
    <w:rsid w:val="001C56CD"/>
    <w:rsid w:val="001C56EE"/>
    <w:rsid w:val="001C5915"/>
    <w:rsid w:val="001C5950"/>
    <w:rsid w:val="001C6320"/>
    <w:rsid w:val="001C676D"/>
    <w:rsid w:val="001C7602"/>
    <w:rsid w:val="001C774F"/>
    <w:rsid w:val="001C77E5"/>
    <w:rsid w:val="001C78A4"/>
    <w:rsid w:val="001C7B94"/>
    <w:rsid w:val="001C7FB7"/>
    <w:rsid w:val="001D0979"/>
    <w:rsid w:val="001D21CD"/>
    <w:rsid w:val="001D2ABC"/>
    <w:rsid w:val="001D37E9"/>
    <w:rsid w:val="001D3C68"/>
    <w:rsid w:val="001D4156"/>
    <w:rsid w:val="001D42F3"/>
    <w:rsid w:val="001D4AC8"/>
    <w:rsid w:val="001D57AD"/>
    <w:rsid w:val="001D5A27"/>
    <w:rsid w:val="001D600B"/>
    <w:rsid w:val="001D6374"/>
    <w:rsid w:val="001D7396"/>
    <w:rsid w:val="001D78C5"/>
    <w:rsid w:val="001E0639"/>
    <w:rsid w:val="001E0690"/>
    <w:rsid w:val="001E0B99"/>
    <w:rsid w:val="001E0D5A"/>
    <w:rsid w:val="001E10B4"/>
    <w:rsid w:val="001E1D87"/>
    <w:rsid w:val="001E260F"/>
    <w:rsid w:val="001E297F"/>
    <w:rsid w:val="001E2A52"/>
    <w:rsid w:val="001E2CA1"/>
    <w:rsid w:val="001E2DD0"/>
    <w:rsid w:val="001E35EE"/>
    <w:rsid w:val="001E379B"/>
    <w:rsid w:val="001E3B27"/>
    <w:rsid w:val="001E4635"/>
    <w:rsid w:val="001E587E"/>
    <w:rsid w:val="001E5B41"/>
    <w:rsid w:val="001E6315"/>
    <w:rsid w:val="001E72EA"/>
    <w:rsid w:val="001E742E"/>
    <w:rsid w:val="001E758B"/>
    <w:rsid w:val="001E784E"/>
    <w:rsid w:val="001F0181"/>
    <w:rsid w:val="001F058E"/>
    <w:rsid w:val="001F0F8C"/>
    <w:rsid w:val="001F173B"/>
    <w:rsid w:val="001F2721"/>
    <w:rsid w:val="001F2B85"/>
    <w:rsid w:val="001F37CC"/>
    <w:rsid w:val="001F3A38"/>
    <w:rsid w:val="001F3C85"/>
    <w:rsid w:val="001F3F7F"/>
    <w:rsid w:val="001F491D"/>
    <w:rsid w:val="001F49B6"/>
    <w:rsid w:val="001F4A10"/>
    <w:rsid w:val="001F53EB"/>
    <w:rsid w:val="001F76DF"/>
    <w:rsid w:val="001F785F"/>
    <w:rsid w:val="001F78D0"/>
    <w:rsid w:val="001F7DD0"/>
    <w:rsid w:val="0020033C"/>
    <w:rsid w:val="00200891"/>
    <w:rsid w:val="00200DED"/>
    <w:rsid w:val="00201369"/>
    <w:rsid w:val="00201CCB"/>
    <w:rsid w:val="0020200A"/>
    <w:rsid w:val="002020DF"/>
    <w:rsid w:val="00202369"/>
    <w:rsid w:val="00202501"/>
    <w:rsid w:val="00204E09"/>
    <w:rsid w:val="00205D84"/>
    <w:rsid w:val="00205E4A"/>
    <w:rsid w:val="002065D5"/>
    <w:rsid w:val="00206774"/>
    <w:rsid w:val="002069A0"/>
    <w:rsid w:val="00206D60"/>
    <w:rsid w:val="0020701E"/>
    <w:rsid w:val="002075E0"/>
    <w:rsid w:val="002106E1"/>
    <w:rsid w:val="00210FBC"/>
    <w:rsid w:val="00211511"/>
    <w:rsid w:val="002117BA"/>
    <w:rsid w:val="0021191E"/>
    <w:rsid w:val="00212800"/>
    <w:rsid w:val="00213BE8"/>
    <w:rsid w:val="00213C57"/>
    <w:rsid w:val="00213F8F"/>
    <w:rsid w:val="00214662"/>
    <w:rsid w:val="00214738"/>
    <w:rsid w:val="00214A02"/>
    <w:rsid w:val="00214A24"/>
    <w:rsid w:val="00214C38"/>
    <w:rsid w:val="00215123"/>
    <w:rsid w:val="0021546A"/>
    <w:rsid w:val="002156B0"/>
    <w:rsid w:val="00216273"/>
    <w:rsid w:val="0021687B"/>
    <w:rsid w:val="002204C1"/>
    <w:rsid w:val="00220538"/>
    <w:rsid w:val="00220F59"/>
    <w:rsid w:val="002216FE"/>
    <w:rsid w:val="002223D7"/>
    <w:rsid w:val="00222587"/>
    <w:rsid w:val="00222C0C"/>
    <w:rsid w:val="00223C39"/>
    <w:rsid w:val="002242EF"/>
    <w:rsid w:val="002264FB"/>
    <w:rsid w:val="00227A56"/>
    <w:rsid w:val="00227E59"/>
    <w:rsid w:val="00230424"/>
    <w:rsid w:val="002304B4"/>
    <w:rsid w:val="00230DBA"/>
    <w:rsid w:val="00232955"/>
    <w:rsid w:val="00232CF9"/>
    <w:rsid w:val="00232DAB"/>
    <w:rsid w:val="00233506"/>
    <w:rsid w:val="00233C4C"/>
    <w:rsid w:val="00234BE6"/>
    <w:rsid w:val="0023523A"/>
    <w:rsid w:val="0023665E"/>
    <w:rsid w:val="00236F97"/>
    <w:rsid w:val="00237397"/>
    <w:rsid w:val="002376C7"/>
    <w:rsid w:val="0024008E"/>
    <w:rsid w:val="002401F5"/>
    <w:rsid w:val="002407EB"/>
    <w:rsid w:val="0024081F"/>
    <w:rsid w:val="00240FD3"/>
    <w:rsid w:val="0024121A"/>
    <w:rsid w:val="00241A7C"/>
    <w:rsid w:val="00241D9B"/>
    <w:rsid w:val="00241F03"/>
    <w:rsid w:val="002423F2"/>
    <w:rsid w:val="0024285B"/>
    <w:rsid w:val="00242C3E"/>
    <w:rsid w:val="00243D12"/>
    <w:rsid w:val="00243FD5"/>
    <w:rsid w:val="00244160"/>
    <w:rsid w:val="00244626"/>
    <w:rsid w:val="00245278"/>
    <w:rsid w:val="002456FC"/>
    <w:rsid w:val="0024593F"/>
    <w:rsid w:val="00245E35"/>
    <w:rsid w:val="0024627C"/>
    <w:rsid w:val="0024674F"/>
    <w:rsid w:val="0024759C"/>
    <w:rsid w:val="002478D8"/>
    <w:rsid w:val="00247A7C"/>
    <w:rsid w:val="00250046"/>
    <w:rsid w:val="00250723"/>
    <w:rsid w:val="0025176B"/>
    <w:rsid w:val="0025184D"/>
    <w:rsid w:val="00251A22"/>
    <w:rsid w:val="00251D1C"/>
    <w:rsid w:val="00252889"/>
    <w:rsid w:val="00253B76"/>
    <w:rsid w:val="00253E5D"/>
    <w:rsid w:val="00254223"/>
    <w:rsid w:val="0025431A"/>
    <w:rsid w:val="0025564C"/>
    <w:rsid w:val="00255AA2"/>
    <w:rsid w:val="00255B1A"/>
    <w:rsid w:val="002562B9"/>
    <w:rsid w:val="0025655C"/>
    <w:rsid w:val="002579C5"/>
    <w:rsid w:val="00257CDB"/>
    <w:rsid w:val="0026048D"/>
    <w:rsid w:val="002606DB"/>
    <w:rsid w:val="00261332"/>
    <w:rsid w:val="002619C8"/>
    <w:rsid w:val="00261B2A"/>
    <w:rsid w:val="002627A8"/>
    <w:rsid w:val="00262BD6"/>
    <w:rsid w:val="002630AC"/>
    <w:rsid w:val="00263955"/>
    <w:rsid w:val="00264041"/>
    <w:rsid w:val="00264B71"/>
    <w:rsid w:val="00264E55"/>
    <w:rsid w:val="002651B8"/>
    <w:rsid w:val="00265918"/>
    <w:rsid w:val="00265E32"/>
    <w:rsid w:val="002678A1"/>
    <w:rsid w:val="00267A52"/>
    <w:rsid w:val="00270205"/>
    <w:rsid w:val="002704EB"/>
    <w:rsid w:val="00270533"/>
    <w:rsid w:val="00270CC7"/>
    <w:rsid w:val="00270F72"/>
    <w:rsid w:val="00272990"/>
    <w:rsid w:val="00272AF2"/>
    <w:rsid w:val="00273DB9"/>
    <w:rsid w:val="002748B5"/>
    <w:rsid w:val="00274CF6"/>
    <w:rsid w:val="00275012"/>
    <w:rsid w:val="0027526B"/>
    <w:rsid w:val="00275612"/>
    <w:rsid w:val="00275EFD"/>
    <w:rsid w:val="00276CE5"/>
    <w:rsid w:val="00276E23"/>
    <w:rsid w:val="00277D4A"/>
    <w:rsid w:val="00280885"/>
    <w:rsid w:val="00281428"/>
    <w:rsid w:val="00281514"/>
    <w:rsid w:val="00281761"/>
    <w:rsid w:val="00281A2B"/>
    <w:rsid w:val="0028286F"/>
    <w:rsid w:val="00283251"/>
    <w:rsid w:val="00283495"/>
    <w:rsid w:val="002834E5"/>
    <w:rsid w:val="00283766"/>
    <w:rsid w:val="0028434F"/>
    <w:rsid w:val="00284D99"/>
    <w:rsid w:val="002850B2"/>
    <w:rsid w:val="0028517B"/>
    <w:rsid w:val="00285272"/>
    <w:rsid w:val="00285DF6"/>
    <w:rsid w:val="00286058"/>
    <w:rsid w:val="00286112"/>
    <w:rsid w:val="00286317"/>
    <w:rsid w:val="00286783"/>
    <w:rsid w:val="002868BE"/>
    <w:rsid w:val="002879AA"/>
    <w:rsid w:val="00287A3C"/>
    <w:rsid w:val="00287DE0"/>
    <w:rsid w:val="00290610"/>
    <w:rsid w:val="00291000"/>
    <w:rsid w:val="00291979"/>
    <w:rsid w:val="002920C8"/>
    <w:rsid w:val="00292207"/>
    <w:rsid w:val="002923DC"/>
    <w:rsid w:val="002926A3"/>
    <w:rsid w:val="002927CC"/>
    <w:rsid w:val="00292980"/>
    <w:rsid w:val="00292E65"/>
    <w:rsid w:val="00293324"/>
    <w:rsid w:val="00293995"/>
    <w:rsid w:val="0029481A"/>
    <w:rsid w:val="00294EEC"/>
    <w:rsid w:val="00294F32"/>
    <w:rsid w:val="00295068"/>
    <w:rsid w:val="00296733"/>
    <w:rsid w:val="00296F0A"/>
    <w:rsid w:val="00297907"/>
    <w:rsid w:val="00297A20"/>
    <w:rsid w:val="00297A25"/>
    <w:rsid w:val="002A0323"/>
    <w:rsid w:val="002A052F"/>
    <w:rsid w:val="002A0DCB"/>
    <w:rsid w:val="002A100A"/>
    <w:rsid w:val="002A1AE4"/>
    <w:rsid w:val="002A1E45"/>
    <w:rsid w:val="002A23E5"/>
    <w:rsid w:val="002A2E09"/>
    <w:rsid w:val="002A33DF"/>
    <w:rsid w:val="002A3752"/>
    <w:rsid w:val="002A49DA"/>
    <w:rsid w:val="002A4E3F"/>
    <w:rsid w:val="002A53FD"/>
    <w:rsid w:val="002A558C"/>
    <w:rsid w:val="002A5944"/>
    <w:rsid w:val="002A65A2"/>
    <w:rsid w:val="002A6B86"/>
    <w:rsid w:val="002A6D09"/>
    <w:rsid w:val="002A7360"/>
    <w:rsid w:val="002A7DC6"/>
    <w:rsid w:val="002B0241"/>
    <w:rsid w:val="002B0589"/>
    <w:rsid w:val="002B0B13"/>
    <w:rsid w:val="002B0B9B"/>
    <w:rsid w:val="002B0CB5"/>
    <w:rsid w:val="002B12CC"/>
    <w:rsid w:val="002B235E"/>
    <w:rsid w:val="002B264E"/>
    <w:rsid w:val="002B2A28"/>
    <w:rsid w:val="002B2CB3"/>
    <w:rsid w:val="002B3011"/>
    <w:rsid w:val="002B3579"/>
    <w:rsid w:val="002B37B0"/>
    <w:rsid w:val="002B3CC4"/>
    <w:rsid w:val="002B45B0"/>
    <w:rsid w:val="002B48A1"/>
    <w:rsid w:val="002B4B6F"/>
    <w:rsid w:val="002B51C9"/>
    <w:rsid w:val="002B5B1C"/>
    <w:rsid w:val="002B6E81"/>
    <w:rsid w:val="002B79AE"/>
    <w:rsid w:val="002B7BC9"/>
    <w:rsid w:val="002B7F4F"/>
    <w:rsid w:val="002C0764"/>
    <w:rsid w:val="002C07CA"/>
    <w:rsid w:val="002C083D"/>
    <w:rsid w:val="002C0B0E"/>
    <w:rsid w:val="002C28AF"/>
    <w:rsid w:val="002C30A7"/>
    <w:rsid w:val="002C30C6"/>
    <w:rsid w:val="002C32AC"/>
    <w:rsid w:val="002C3722"/>
    <w:rsid w:val="002C376B"/>
    <w:rsid w:val="002C391F"/>
    <w:rsid w:val="002C3B82"/>
    <w:rsid w:val="002C4321"/>
    <w:rsid w:val="002C4DD8"/>
    <w:rsid w:val="002C4E7F"/>
    <w:rsid w:val="002C509D"/>
    <w:rsid w:val="002C53EA"/>
    <w:rsid w:val="002C592D"/>
    <w:rsid w:val="002C7044"/>
    <w:rsid w:val="002C746C"/>
    <w:rsid w:val="002C7623"/>
    <w:rsid w:val="002C77CB"/>
    <w:rsid w:val="002D0152"/>
    <w:rsid w:val="002D01A4"/>
    <w:rsid w:val="002D021D"/>
    <w:rsid w:val="002D0436"/>
    <w:rsid w:val="002D070A"/>
    <w:rsid w:val="002D084D"/>
    <w:rsid w:val="002D1A13"/>
    <w:rsid w:val="002D1F35"/>
    <w:rsid w:val="002D2516"/>
    <w:rsid w:val="002D355F"/>
    <w:rsid w:val="002D3CA1"/>
    <w:rsid w:val="002D409F"/>
    <w:rsid w:val="002D45A3"/>
    <w:rsid w:val="002D4EDF"/>
    <w:rsid w:val="002D5499"/>
    <w:rsid w:val="002D551A"/>
    <w:rsid w:val="002D600D"/>
    <w:rsid w:val="002D6351"/>
    <w:rsid w:val="002D6756"/>
    <w:rsid w:val="002D73B1"/>
    <w:rsid w:val="002E0A28"/>
    <w:rsid w:val="002E0BBB"/>
    <w:rsid w:val="002E0C15"/>
    <w:rsid w:val="002E0E51"/>
    <w:rsid w:val="002E1244"/>
    <w:rsid w:val="002E19E7"/>
    <w:rsid w:val="002E207A"/>
    <w:rsid w:val="002E2308"/>
    <w:rsid w:val="002E26B7"/>
    <w:rsid w:val="002E2BFB"/>
    <w:rsid w:val="002E2FDF"/>
    <w:rsid w:val="002E3E21"/>
    <w:rsid w:val="002E40AA"/>
    <w:rsid w:val="002E4379"/>
    <w:rsid w:val="002E603F"/>
    <w:rsid w:val="002E6205"/>
    <w:rsid w:val="002E63CA"/>
    <w:rsid w:val="002E6BD3"/>
    <w:rsid w:val="002E70CB"/>
    <w:rsid w:val="002E7325"/>
    <w:rsid w:val="002E73FA"/>
    <w:rsid w:val="002E76DC"/>
    <w:rsid w:val="002E7EBB"/>
    <w:rsid w:val="002F0196"/>
    <w:rsid w:val="002F101A"/>
    <w:rsid w:val="002F1655"/>
    <w:rsid w:val="002F1B20"/>
    <w:rsid w:val="002F339A"/>
    <w:rsid w:val="002F3741"/>
    <w:rsid w:val="002F42D9"/>
    <w:rsid w:val="002F4663"/>
    <w:rsid w:val="002F4E40"/>
    <w:rsid w:val="002F58E2"/>
    <w:rsid w:val="002F5B53"/>
    <w:rsid w:val="002F7EFC"/>
    <w:rsid w:val="002F7FAA"/>
    <w:rsid w:val="00300066"/>
    <w:rsid w:val="00300136"/>
    <w:rsid w:val="00300707"/>
    <w:rsid w:val="003009AD"/>
    <w:rsid w:val="0030176F"/>
    <w:rsid w:val="003027AB"/>
    <w:rsid w:val="00302F40"/>
    <w:rsid w:val="00303BE0"/>
    <w:rsid w:val="0030498E"/>
    <w:rsid w:val="003054B1"/>
    <w:rsid w:val="0030606D"/>
    <w:rsid w:val="00306405"/>
    <w:rsid w:val="00306922"/>
    <w:rsid w:val="00306C02"/>
    <w:rsid w:val="00307D9B"/>
    <w:rsid w:val="003107EB"/>
    <w:rsid w:val="00311A2A"/>
    <w:rsid w:val="0031202C"/>
    <w:rsid w:val="003122A0"/>
    <w:rsid w:val="003124F7"/>
    <w:rsid w:val="0031251B"/>
    <w:rsid w:val="00312DF5"/>
    <w:rsid w:val="00314361"/>
    <w:rsid w:val="0031464C"/>
    <w:rsid w:val="00315508"/>
    <w:rsid w:val="00315587"/>
    <w:rsid w:val="00315BFA"/>
    <w:rsid w:val="003165B8"/>
    <w:rsid w:val="003166FF"/>
    <w:rsid w:val="00316777"/>
    <w:rsid w:val="00316978"/>
    <w:rsid w:val="00316D8C"/>
    <w:rsid w:val="00316FEF"/>
    <w:rsid w:val="00317F28"/>
    <w:rsid w:val="0032035D"/>
    <w:rsid w:val="00320EB8"/>
    <w:rsid w:val="003232A7"/>
    <w:rsid w:val="003232B5"/>
    <w:rsid w:val="003243B0"/>
    <w:rsid w:val="003247EB"/>
    <w:rsid w:val="003249DF"/>
    <w:rsid w:val="0032530E"/>
    <w:rsid w:val="003255C7"/>
    <w:rsid w:val="00325A14"/>
    <w:rsid w:val="00325AD5"/>
    <w:rsid w:val="00325D88"/>
    <w:rsid w:val="003268D9"/>
    <w:rsid w:val="00326BBD"/>
    <w:rsid w:val="00326FD4"/>
    <w:rsid w:val="00327076"/>
    <w:rsid w:val="00330501"/>
    <w:rsid w:val="003306E1"/>
    <w:rsid w:val="00331B49"/>
    <w:rsid w:val="00331F94"/>
    <w:rsid w:val="00332226"/>
    <w:rsid w:val="0033297C"/>
    <w:rsid w:val="0033314A"/>
    <w:rsid w:val="003342F2"/>
    <w:rsid w:val="003345F8"/>
    <w:rsid w:val="00334D98"/>
    <w:rsid w:val="00334DE0"/>
    <w:rsid w:val="0033588E"/>
    <w:rsid w:val="00335D90"/>
    <w:rsid w:val="00336C8D"/>
    <w:rsid w:val="00337CE2"/>
    <w:rsid w:val="003402C6"/>
    <w:rsid w:val="003414A8"/>
    <w:rsid w:val="003431D5"/>
    <w:rsid w:val="0034346D"/>
    <w:rsid w:val="00343D16"/>
    <w:rsid w:val="0034474A"/>
    <w:rsid w:val="0034483B"/>
    <w:rsid w:val="003462A3"/>
    <w:rsid w:val="0034676D"/>
    <w:rsid w:val="003476B3"/>
    <w:rsid w:val="0034796B"/>
    <w:rsid w:val="00347A0E"/>
    <w:rsid w:val="003503AF"/>
    <w:rsid w:val="00351109"/>
    <w:rsid w:val="00352049"/>
    <w:rsid w:val="003522A8"/>
    <w:rsid w:val="0035232C"/>
    <w:rsid w:val="00352374"/>
    <w:rsid w:val="003527CF"/>
    <w:rsid w:val="00352CE0"/>
    <w:rsid w:val="003531CD"/>
    <w:rsid w:val="00353D37"/>
    <w:rsid w:val="00354316"/>
    <w:rsid w:val="00355FAD"/>
    <w:rsid w:val="0035647A"/>
    <w:rsid w:val="003564FA"/>
    <w:rsid w:val="00356951"/>
    <w:rsid w:val="00356DA2"/>
    <w:rsid w:val="00357BFE"/>
    <w:rsid w:val="00360C22"/>
    <w:rsid w:val="00360EEF"/>
    <w:rsid w:val="003614F7"/>
    <w:rsid w:val="003618DD"/>
    <w:rsid w:val="00361AA7"/>
    <w:rsid w:val="00362AA8"/>
    <w:rsid w:val="00362E50"/>
    <w:rsid w:val="003635BB"/>
    <w:rsid w:val="003637B0"/>
    <w:rsid w:val="00363D57"/>
    <w:rsid w:val="00364133"/>
    <w:rsid w:val="00364BCE"/>
    <w:rsid w:val="00364D0A"/>
    <w:rsid w:val="00365837"/>
    <w:rsid w:val="00365E08"/>
    <w:rsid w:val="00366438"/>
    <w:rsid w:val="003665CD"/>
    <w:rsid w:val="00366CEC"/>
    <w:rsid w:val="003672B8"/>
    <w:rsid w:val="00367727"/>
    <w:rsid w:val="00367836"/>
    <w:rsid w:val="00367D23"/>
    <w:rsid w:val="00370CF6"/>
    <w:rsid w:val="00371C05"/>
    <w:rsid w:val="003721B7"/>
    <w:rsid w:val="0037275C"/>
    <w:rsid w:val="00372926"/>
    <w:rsid w:val="00372B1E"/>
    <w:rsid w:val="00372D8E"/>
    <w:rsid w:val="00372F2B"/>
    <w:rsid w:val="00372F9A"/>
    <w:rsid w:val="00373260"/>
    <w:rsid w:val="00373888"/>
    <w:rsid w:val="00373ED0"/>
    <w:rsid w:val="00374A5C"/>
    <w:rsid w:val="003752F4"/>
    <w:rsid w:val="00375815"/>
    <w:rsid w:val="00375AC2"/>
    <w:rsid w:val="00375E03"/>
    <w:rsid w:val="00375F3C"/>
    <w:rsid w:val="00376238"/>
    <w:rsid w:val="00376386"/>
    <w:rsid w:val="00376A13"/>
    <w:rsid w:val="0037757E"/>
    <w:rsid w:val="003779B2"/>
    <w:rsid w:val="003805C1"/>
    <w:rsid w:val="00380A85"/>
    <w:rsid w:val="00381166"/>
    <w:rsid w:val="003812E2"/>
    <w:rsid w:val="003816AB"/>
    <w:rsid w:val="0038237B"/>
    <w:rsid w:val="003825CC"/>
    <w:rsid w:val="0038353E"/>
    <w:rsid w:val="00383984"/>
    <w:rsid w:val="00383A58"/>
    <w:rsid w:val="00383F47"/>
    <w:rsid w:val="0038520D"/>
    <w:rsid w:val="00385C1D"/>
    <w:rsid w:val="00385EE4"/>
    <w:rsid w:val="0038624F"/>
    <w:rsid w:val="0038637F"/>
    <w:rsid w:val="003877DF"/>
    <w:rsid w:val="00387B4B"/>
    <w:rsid w:val="00387F7A"/>
    <w:rsid w:val="0039138D"/>
    <w:rsid w:val="003918D6"/>
    <w:rsid w:val="003925A8"/>
    <w:rsid w:val="00392682"/>
    <w:rsid w:val="003927F2"/>
    <w:rsid w:val="00392888"/>
    <w:rsid w:val="00392DBC"/>
    <w:rsid w:val="003933E2"/>
    <w:rsid w:val="003933EB"/>
    <w:rsid w:val="003941A1"/>
    <w:rsid w:val="003942F4"/>
    <w:rsid w:val="003948A4"/>
    <w:rsid w:val="00394F23"/>
    <w:rsid w:val="00394FE6"/>
    <w:rsid w:val="0039554A"/>
    <w:rsid w:val="00395553"/>
    <w:rsid w:val="0039580D"/>
    <w:rsid w:val="003958C9"/>
    <w:rsid w:val="00396A11"/>
    <w:rsid w:val="00396EBA"/>
    <w:rsid w:val="00397AFB"/>
    <w:rsid w:val="003A02F4"/>
    <w:rsid w:val="003A05C1"/>
    <w:rsid w:val="003A1110"/>
    <w:rsid w:val="003A15EC"/>
    <w:rsid w:val="003A1B78"/>
    <w:rsid w:val="003A250D"/>
    <w:rsid w:val="003A505D"/>
    <w:rsid w:val="003A54C1"/>
    <w:rsid w:val="003A59F9"/>
    <w:rsid w:val="003A5A66"/>
    <w:rsid w:val="003A5CEE"/>
    <w:rsid w:val="003A65B3"/>
    <w:rsid w:val="003A694B"/>
    <w:rsid w:val="003A6990"/>
    <w:rsid w:val="003A6AB5"/>
    <w:rsid w:val="003A71EF"/>
    <w:rsid w:val="003A78A1"/>
    <w:rsid w:val="003B0764"/>
    <w:rsid w:val="003B137C"/>
    <w:rsid w:val="003B16AA"/>
    <w:rsid w:val="003B186F"/>
    <w:rsid w:val="003B18E0"/>
    <w:rsid w:val="003B1A9B"/>
    <w:rsid w:val="003B2D09"/>
    <w:rsid w:val="003B324C"/>
    <w:rsid w:val="003B3995"/>
    <w:rsid w:val="003B3B74"/>
    <w:rsid w:val="003B3E67"/>
    <w:rsid w:val="003B3E8F"/>
    <w:rsid w:val="003B4CE3"/>
    <w:rsid w:val="003B54F6"/>
    <w:rsid w:val="003B5757"/>
    <w:rsid w:val="003B5D9A"/>
    <w:rsid w:val="003B61BF"/>
    <w:rsid w:val="003B6213"/>
    <w:rsid w:val="003B6497"/>
    <w:rsid w:val="003B69D8"/>
    <w:rsid w:val="003B6B75"/>
    <w:rsid w:val="003B739A"/>
    <w:rsid w:val="003B7CB5"/>
    <w:rsid w:val="003C035B"/>
    <w:rsid w:val="003C0C80"/>
    <w:rsid w:val="003C14F5"/>
    <w:rsid w:val="003C260A"/>
    <w:rsid w:val="003C299E"/>
    <w:rsid w:val="003C2E30"/>
    <w:rsid w:val="003C3586"/>
    <w:rsid w:val="003C4A21"/>
    <w:rsid w:val="003C4B56"/>
    <w:rsid w:val="003C4FDF"/>
    <w:rsid w:val="003C500E"/>
    <w:rsid w:val="003C545E"/>
    <w:rsid w:val="003C55A9"/>
    <w:rsid w:val="003C5689"/>
    <w:rsid w:val="003C5829"/>
    <w:rsid w:val="003C6BF2"/>
    <w:rsid w:val="003C6F67"/>
    <w:rsid w:val="003C719B"/>
    <w:rsid w:val="003C74EE"/>
    <w:rsid w:val="003C76D2"/>
    <w:rsid w:val="003D01A4"/>
    <w:rsid w:val="003D02B4"/>
    <w:rsid w:val="003D11C5"/>
    <w:rsid w:val="003D1576"/>
    <w:rsid w:val="003D17E5"/>
    <w:rsid w:val="003D2053"/>
    <w:rsid w:val="003D229B"/>
    <w:rsid w:val="003D2CF4"/>
    <w:rsid w:val="003D2D62"/>
    <w:rsid w:val="003D2E9D"/>
    <w:rsid w:val="003D43DD"/>
    <w:rsid w:val="003D4E93"/>
    <w:rsid w:val="003D5162"/>
    <w:rsid w:val="003D5375"/>
    <w:rsid w:val="003D5742"/>
    <w:rsid w:val="003D59F8"/>
    <w:rsid w:val="003D73FE"/>
    <w:rsid w:val="003D760C"/>
    <w:rsid w:val="003D7617"/>
    <w:rsid w:val="003D7907"/>
    <w:rsid w:val="003D7F00"/>
    <w:rsid w:val="003E0679"/>
    <w:rsid w:val="003E0D8D"/>
    <w:rsid w:val="003E14A1"/>
    <w:rsid w:val="003E2339"/>
    <w:rsid w:val="003E265C"/>
    <w:rsid w:val="003E318B"/>
    <w:rsid w:val="003E347E"/>
    <w:rsid w:val="003E3877"/>
    <w:rsid w:val="003E4224"/>
    <w:rsid w:val="003E42FE"/>
    <w:rsid w:val="003E454F"/>
    <w:rsid w:val="003E5A4A"/>
    <w:rsid w:val="003E61B9"/>
    <w:rsid w:val="003E6380"/>
    <w:rsid w:val="003E6BD8"/>
    <w:rsid w:val="003E6CB2"/>
    <w:rsid w:val="003E72C3"/>
    <w:rsid w:val="003E795D"/>
    <w:rsid w:val="003E7B43"/>
    <w:rsid w:val="003F0480"/>
    <w:rsid w:val="003F0A41"/>
    <w:rsid w:val="003F0CF2"/>
    <w:rsid w:val="003F0E62"/>
    <w:rsid w:val="003F0E83"/>
    <w:rsid w:val="003F115B"/>
    <w:rsid w:val="003F19CC"/>
    <w:rsid w:val="003F1AC6"/>
    <w:rsid w:val="003F2663"/>
    <w:rsid w:val="003F346F"/>
    <w:rsid w:val="003F3F9C"/>
    <w:rsid w:val="003F4C29"/>
    <w:rsid w:val="003F4CF9"/>
    <w:rsid w:val="003F5AF1"/>
    <w:rsid w:val="003F5E64"/>
    <w:rsid w:val="003F6DB4"/>
    <w:rsid w:val="003F7082"/>
    <w:rsid w:val="003F7EE2"/>
    <w:rsid w:val="003F7F6D"/>
    <w:rsid w:val="004009E7"/>
    <w:rsid w:val="0040140D"/>
    <w:rsid w:val="00401E8F"/>
    <w:rsid w:val="00402006"/>
    <w:rsid w:val="00402AA3"/>
    <w:rsid w:val="00402C0E"/>
    <w:rsid w:val="004030F6"/>
    <w:rsid w:val="004032B5"/>
    <w:rsid w:val="00403A38"/>
    <w:rsid w:val="00403C52"/>
    <w:rsid w:val="00403D64"/>
    <w:rsid w:val="0040404F"/>
    <w:rsid w:val="004046AF"/>
    <w:rsid w:val="004048E2"/>
    <w:rsid w:val="00405897"/>
    <w:rsid w:val="00406698"/>
    <w:rsid w:val="00406D19"/>
    <w:rsid w:val="00406FC8"/>
    <w:rsid w:val="00410045"/>
    <w:rsid w:val="0041012A"/>
    <w:rsid w:val="00410C19"/>
    <w:rsid w:val="00411220"/>
    <w:rsid w:val="00411AE7"/>
    <w:rsid w:val="00411E66"/>
    <w:rsid w:val="004121A4"/>
    <w:rsid w:val="00412B18"/>
    <w:rsid w:val="00412E63"/>
    <w:rsid w:val="004134CF"/>
    <w:rsid w:val="00413CAF"/>
    <w:rsid w:val="00414637"/>
    <w:rsid w:val="00415028"/>
    <w:rsid w:val="00415163"/>
    <w:rsid w:val="00415E9C"/>
    <w:rsid w:val="00416E4D"/>
    <w:rsid w:val="0041746E"/>
    <w:rsid w:val="00417589"/>
    <w:rsid w:val="00417A66"/>
    <w:rsid w:val="00417D71"/>
    <w:rsid w:val="00420484"/>
    <w:rsid w:val="0042133E"/>
    <w:rsid w:val="0042173A"/>
    <w:rsid w:val="00421866"/>
    <w:rsid w:val="0042216E"/>
    <w:rsid w:val="00422BB9"/>
    <w:rsid w:val="004243A7"/>
    <w:rsid w:val="0042492B"/>
    <w:rsid w:val="004256BE"/>
    <w:rsid w:val="004271E0"/>
    <w:rsid w:val="0043228E"/>
    <w:rsid w:val="004324DE"/>
    <w:rsid w:val="0043257E"/>
    <w:rsid w:val="00433094"/>
    <w:rsid w:val="0043345A"/>
    <w:rsid w:val="00433596"/>
    <w:rsid w:val="00433D83"/>
    <w:rsid w:val="00434AAD"/>
    <w:rsid w:val="004351A6"/>
    <w:rsid w:val="00435492"/>
    <w:rsid w:val="004355AB"/>
    <w:rsid w:val="004358D8"/>
    <w:rsid w:val="00435A82"/>
    <w:rsid w:val="00436072"/>
    <w:rsid w:val="0043622E"/>
    <w:rsid w:val="00436416"/>
    <w:rsid w:val="00437218"/>
    <w:rsid w:val="00437725"/>
    <w:rsid w:val="00437FF4"/>
    <w:rsid w:val="0044082F"/>
    <w:rsid w:val="00440E3F"/>
    <w:rsid w:val="00440E50"/>
    <w:rsid w:val="004437DB"/>
    <w:rsid w:val="00443A38"/>
    <w:rsid w:val="00443F3C"/>
    <w:rsid w:val="004444BA"/>
    <w:rsid w:val="004448EE"/>
    <w:rsid w:val="0044528D"/>
    <w:rsid w:val="00445312"/>
    <w:rsid w:val="0044615A"/>
    <w:rsid w:val="00446B1E"/>
    <w:rsid w:val="00446FF7"/>
    <w:rsid w:val="0044744B"/>
    <w:rsid w:val="00447A81"/>
    <w:rsid w:val="00447B41"/>
    <w:rsid w:val="00447E1E"/>
    <w:rsid w:val="00451056"/>
    <w:rsid w:val="00451229"/>
    <w:rsid w:val="004513AA"/>
    <w:rsid w:val="00452A5E"/>
    <w:rsid w:val="00452AB2"/>
    <w:rsid w:val="00452B7B"/>
    <w:rsid w:val="00453B91"/>
    <w:rsid w:val="00454228"/>
    <w:rsid w:val="0045422D"/>
    <w:rsid w:val="0045456F"/>
    <w:rsid w:val="00454954"/>
    <w:rsid w:val="0045527B"/>
    <w:rsid w:val="00456BB6"/>
    <w:rsid w:val="0045726F"/>
    <w:rsid w:val="0046023D"/>
    <w:rsid w:val="00460ADA"/>
    <w:rsid w:val="004615E7"/>
    <w:rsid w:val="00461C1A"/>
    <w:rsid w:val="00461CC7"/>
    <w:rsid w:val="0046267A"/>
    <w:rsid w:val="0046298E"/>
    <w:rsid w:val="004632C1"/>
    <w:rsid w:val="004635F4"/>
    <w:rsid w:val="00464057"/>
    <w:rsid w:val="004643AE"/>
    <w:rsid w:val="004649CD"/>
    <w:rsid w:val="004653A4"/>
    <w:rsid w:val="00465424"/>
    <w:rsid w:val="0046582A"/>
    <w:rsid w:val="004667E2"/>
    <w:rsid w:val="004667F3"/>
    <w:rsid w:val="00466D6E"/>
    <w:rsid w:val="004675FE"/>
    <w:rsid w:val="0046775B"/>
    <w:rsid w:val="004711BA"/>
    <w:rsid w:val="004714B5"/>
    <w:rsid w:val="004716E5"/>
    <w:rsid w:val="0047198A"/>
    <w:rsid w:val="004724AC"/>
    <w:rsid w:val="00472A1D"/>
    <w:rsid w:val="00473241"/>
    <w:rsid w:val="00473422"/>
    <w:rsid w:val="004749E0"/>
    <w:rsid w:val="00474BB7"/>
    <w:rsid w:val="00475111"/>
    <w:rsid w:val="0047558E"/>
    <w:rsid w:val="00476331"/>
    <w:rsid w:val="00476427"/>
    <w:rsid w:val="00476637"/>
    <w:rsid w:val="00476A5B"/>
    <w:rsid w:val="00476A8F"/>
    <w:rsid w:val="00476C20"/>
    <w:rsid w:val="004800B8"/>
    <w:rsid w:val="004803FF"/>
    <w:rsid w:val="00480AE9"/>
    <w:rsid w:val="00481310"/>
    <w:rsid w:val="00481AF4"/>
    <w:rsid w:val="00481D14"/>
    <w:rsid w:val="00482C0D"/>
    <w:rsid w:val="00482F42"/>
    <w:rsid w:val="00483450"/>
    <w:rsid w:val="00483EB6"/>
    <w:rsid w:val="0048457F"/>
    <w:rsid w:val="00484F60"/>
    <w:rsid w:val="00485132"/>
    <w:rsid w:val="004852AE"/>
    <w:rsid w:val="004852F7"/>
    <w:rsid w:val="004853FA"/>
    <w:rsid w:val="00486594"/>
    <w:rsid w:val="00486607"/>
    <w:rsid w:val="004866E0"/>
    <w:rsid w:val="004866EA"/>
    <w:rsid w:val="00486C86"/>
    <w:rsid w:val="00487D95"/>
    <w:rsid w:val="0049011B"/>
    <w:rsid w:val="0049028E"/>
    <w:rsid w:val="00490B14"/>
    <w:rsid w:val="00490CDD"/>
    <w:rsid w:val="00490E0A"/>
    <w:rsid w:val="0049126B"/>
    <w:rsid w:val="004915B2"/>
    <w:rsid w:val="004917E5"/>
    <w:rsid w:val="0049184C"/>
    <w:rsid w:val="00491854"/>
    <w:rsid w:val="0049213C"/>
    <w:rsid w:val="0049286D"/>
    <w:rsid w:val="004943F7"/>
    <w:rsid w:val="00494735"/>
    <w:rsid w:val="00494E37"/>
    <w:rsid w:val="00494F1B"/>
    <w:rsid w:val="004952D6"/>
    <w:rsid w:val="00495BF7"/>
    <w:rsid w:val="004974E8"/>
    <w:rsid w:val="00497B27"/>
    <w:rsid w:val="004A04E9"/>
    <w:rsid w:val="004A0779"/>
    <w:rsid w:val="004A0AB1"/>
    <w:rsid w:val="004A0C5C"/>
    <w:rsid w:val="004A149D"/>
    <w:rsid w:val="004A16FB"/>
    <w:rsid w:val="004A1AEB"/>
    <w:rsid w:val="004A1C0A"/>
    <w:rsid w:val="004A1CD3"/>
    <w:rsid w:val="004A1D7A"/>
    <w:rsid w:val="004A2074"/>
    <w:rsid w:val="004A3346"/>
    <w:rsid w:val="004A34F1"/>
    <w:rsid w:val="004A3614"/>
    <w:rsid w:val="004A36E1"/>
    <w:rsid w:val="004A4A38"/>
    <w:rsid w:val="004A4EBE"/>
    <w:rsid w:val="004A5B38"/>
    <w:rsid w:val="004A5ECD"/>
    <w:rsid w:val="004A6546"/>
    <w:rsid w:val="004A65B9"/>
    <w:rsid w:val="004A6F4E"/>
    <w:rsid w:val="004A73F9"/>
    <w:rsid w:val="004A74F5"/>
    <w:rsid w:val="004A7520"/>
    <w:rsid w:val="004A7BB4"/>
    <w:rsid w:val="004B0101"/>
    <w:rsid w:val="004B09BA"/>
    <w:rsid w:val="004B1915"/>
    <w:rsid w:val="004B2170"/>
    <w:rsid w:val="004B2559"/>
    <w:rsid w:val="004B27A6"/>
    <w:rsid w:val="004B3787"/>
    <w:rsid w:val="004B3DB4"/>
    <w:rsid w:val="004B4182"/>
    <w:rsid w:val="004B5084"/>
    <w:rsid w:val="004B5BA8"/>
    <w:rsid w:val="004B6869"/>
    <w:rsid w:val="004B72CF"/>
    <w:rsid w:val="004B743C"/>
    <w:rsid w:val="004B7A08"/>
    <w:rsid w:val="004B7C1D"/>
    <w:rsid w:val="004B7C9A"/>
    <w:rsid w:val="004C02C0"/>
    <w:rsid w:val="004C0D8C"/>
    <w:rsid w:val="004C1362"/>
    <w:rsid w:val="004C1618"/>
    <w:rsid w:val="004C1636"/>
    <w:rsid w:val="004C200C"/>
    <w:rsid w:val="004C2C5D"/>
    <w:rsid w:val="004C33F0"/>
    <w:rsid w:val="004C343C"/>
    <w:rsid w:val="004C3C6F"/>
    <w:rsid w:val="004C3F97"/>
    <w:rsid w:val="004C608D"/>
    <w:rsid w:val="004C68BD"/>
    <w:rsid w:val="004C7121"/>
    <w:rsid w:val="004C716F"/>
    <w:rsid w:val="004C7FB0"/>
    <w:rsid w:val="004D0321"/>
    <w:rsid w:val="004D0784"/>
    <w:rsid w:val="004D07C2"/>
    <w:rsid w:val="004D132F"/>
    <w:rsid w:val="004D18F7"/>
    <w:rsid w:val="004D1F3A"/>
    <w:rsid w:val="004D277B"/>
    <w:rsid w:val="004D2978"/>
    <w:rsid w:val="004D3D1D"/>
    <w:rsid w:val="004D3D94"/>
    <w:rsid w:val="004D401E"/>
    <w:rsid w:val="004D493C"/>
    <w:rsid w:val="004D4BDF"/>
    <w:rsid w:val="004D5129"/>
    <w:rsid w:val="004D5B3D"/>
    <w:rsid w:val="004D5E1C"/>
    <w:rsid w:val="004D5EEE"/>
    <w:rsid w:val="004D615D"/>
    <w:rsid w:val="004D6307"/>
    <w:rsid w:val="004D6389"/>
    <w:rsid w:val="004D6442"/>
    <w:rsid w:val="004D6B39"/>
    <w:rsid w:val="004D70F6"/>
    <w:rsid w:val="004D7776"/>
    <w:rsid w:val="004D786A"/>
    <w:rsid w:val="004D7E47"/>
    <w:rsid w:val="004E03DD"/>
    <w:rsid w:val="004E04AA"/>
    <w:rsid w:val="004E0532"/>
    <w:rsid w:val="004E0892"/>
    <w:rsid w:val="004E092A"/>
    <w:rsid w:val="004E103E"/>
    <w:rsid w:val="004E17FA"/>
    <w:rsid w:val="004E190D"/>
    <w:rsid w:val="004E1E7A"/>
    <w:rsid w:val="004E1E8D"/>
    <w:rsid w:val="004E2904"/>
    <w:rsid w:val="004E2ACF"/>
    <w:rsid w:val="004E2E41"/>
    <w:rsid w:val="004E320F"/>
    <w:rsid w:val="004E33CC"/>
    <w:rsid w:val="004E3706"/>
    <w:rsid w:val="004E3883"/>
    <w:rsid w:val="004E428B"/>
    <w:rsid w:val="004E518F"/>
    <w:rsid w:val="004E53FA"/>
    <w:rsid w:val="004E568E"/>
    <w:rsid w:val="004E5AED"/>
    <w:rsid w:val="004E69BA"/>
    <w:rsid w:val="004E6AC4"/>
    <w:rsid w:val="004E6F20"/>
    <w:rsid w:val="004F0C1A"/>
    <w:rsid w:val="004F15E6"/>
    <w:rsid w:val="004F19F8"/>
    <w:rsid w:val="004F1E41"/>
    <w:rsid w:val="004F232F"/>
    <w:rsid w:val="004F260F"/>
    <w:rsid w:val="004F2B7E"/>
    <w:rsid w:val="004F2C91"/>
    <w:rsid w:val="004F30F9"/>
    <w:rsid w:val="004F33DF"/>
    <w:rsid w:val="004F3E39"/>
    <w:rsid w:val="004F3E8C"/>
    <w:rsid w:val="004F471C"/>
    <w:rsid w:val="004F4941"/>
    <w:rsid w:val="004F5281"/>
    <w:rsid w:val="004F5553"/>
    <w:rsid w:val="004F612A"/>
    <w:rsid w:val="004F649F"/>
    <w:rsid w:val="004F7FB8"/>
    <w:rsid w:val="005000B5"/>
    <w:rsid w:val="005001A5"/>
    <w:rsid w:val="00500A6F"/>
    <w:rsid w:val="005010EC"/>
    <w:rsid w:val="005012C1"/>
    <w:rsid w:val="005013C9"/>
    <w:rsid w:val="005015B3"/>
    <w:rsid w:val="00501A88"/>
    <w:rsid w:val="00501C44"/>
    <w:rsid w:val="0050223A"/>
    <w:rsid w:val="00502ADE"/>
    <w:rsid w:val="00502B5F"/>
    <w:rsid w:val="00502DB9"/>
    <w:rsid w:val="005031D8"/>
    <w:rsid w:val="00503DF4"/>
    <w:rsid w:val="00504684"/>
    <w:rsid w:val="00504D47"/>
    <w:rsid w:val="0050567D"/>
    <w:rsid w:val="00505E67"/>
    <w:rsid w:val="00505EE8"/>
    <w:rsid w:val="00506006"/>
    <w:rsid w:val="0050629C"/>
    <w:rsid w:val="0050671B"/>
    <w:rsid w:val="00506E11"/>
    <w:rsid w:val="00507650"/>
    <w:rsid w:val="00510ED0"/>
    <w:rsid w:val="00511A28"/>
    <w:rsid w:val="0051342A"/>
    <w:rsid w:val="00513951"/>
    <w:rsid w:val="00513CB0"/>
    <w:rsid w:val="00513FB8"/>
    <w:rsid w:val="005143DC"/>
    <w:rsid w:val="00514418"/>
    <w:rsid w:val="005146ED"/>
    <w:rsid w:val="005147CD"/>
    <w:rsid w:val="00514FF1"/>
    <w:rsid w:val="0051500A"/>
    <w:rsid w:val="00515535"/>
    <w:rsid w:val="00515909"/>
    <w:rsid w:val="0051633F"/>
    <w:rsid w:val="00516735"/>
    <w:rsid w:val="0051745D"/>
    <w:rsid w:val="005174BA"/>
    <w:rsid w:val="00520EA9"/>
    <w:rsid w:val="005216B0"/>
    <w:rsid w:val="00521762"/>
    <w:rsid w:val="005220E6"/>
    <w:rsid w:val="00522104"/>
    <w:rsid w:val="005227CB"/>
    <w:rsid w:val="005228DD"/>
    <w:rsid w:val="0052318E"/>
    <w:rsid w:val="00523258"/>
    <w:rsid w:val="00523918"/>
    <w:rsid w:val="00523FF4"/>
    <w:rsid w:val="005246A2"/>
    <w:rsid w:val="00524DCB"/>
    <w:rsid w:val="005258EE"/>
    <w:rsid w:val="00526A08"/>
    <w:rsid w:val="00526A73"/>
    <w:rsid w:val="00526AAE"/>
    <w:rsid w:val="00526E5B"/>
    <w:rsid w:val="00527067"/>
    <w:rsid w:val="005274A0"/>
    <w:rsid w:val="00527806"/>
    <w:rsid w:val="0053000E"/>
    <w:rsid w:val="0053016C"/>
    <w:rsid w:val="00530B61"/>
    <w:rsid w:val="00530C2D"/>
    <w:rsid w:val="00531257"/>
    <w:rsid w:val="00531A91"/>
    <w:rsid w:val="00531F18"/>
    <w:rsid w:val="0053230E"/>
    <w:rsid w:val="00532D53"/>
    <w:rsid w:val="00532E79"/>
    <w:rsid w:val="00534E63"/>
    <w:rsid w:val="00535909"/>
    <w:rsid w:val="00535E85"/>
    <w:rsid w:val="0053620B"/>
    <w:rsid w:val="005373A1"/>
    <w:rsid w:val="0053750E"/>
    <w:rsid w:val="0053799B"/>
    <w:rsid w:val="00537B38"/>
    <w:rsid w:val="00537B9A"/>
    <w:rsid w:val="00537C38"/>
    <w:rsid w:val="00540330"/>
    <w:rsid w:val="0054093E"/>
    <w:rsid w:val="0054098C"/>
    <w:rsid w:val="00540F4A"/>
    <w:rsid w:val="0054156B"/>
    <w:rsid w:val="0054172F"/>
    <w:rsid w:val="005429B7"/>
    <w:rsid w:val="0054431B"/>
    <w:rsid w:val="005443D7"/>
    <w:rsid w:val="00544A34"/>
    <w:rsid w:val="00544B77"/>
    <w:rsid w:val="00544ED3"/>
    <w:rsid w:val="005452BA"/>
    <w:rsid w:val="00545D03"/>
    <w:rsid w:val="00545FAE"/>
    <w:rsid w:val="00546D9E"/>
    <w:rsid w:val="00546ED0"/>
    <w:rsid w:val="00552061"/>
    <w:rsid w:val="00553D3D"/>
    <w:rsid w:val="00554191"/>
    <w:rsid w:val="00554DBA"/>
    <w:rsid w:val="00555755"/>
    <w:rsid w:val="0055629F"/>
    <w:rsid w:val="0055657C"/>
    <w:rsid w:val="005568DE"/>
    <w:rsid w:val="00556E92"/>
    <w:rsid w:val="005574A0"/>
    <w:rsid w:val="00557607"/>
    <w:rsid w:val="005576F9"/>
    <w:rsid w:val="00557E4E"/>
    <w:rsid w:val="0056020F"/>
    <w:rsid w:val="00560761"/>
    <w:rsid w:val="00562087"/>
    <w:rsid w:val="00562B61"/>
    <w:rsid w:val="00562D7C"/>
    <w:rsid w:val="00562E8D"/>
    <w:rsid w:val="00563647"/>
    <w:rsid w:val="005647FD"/>
    <w:rsid w:val="005649B8"/>
    <w:rsid w:val="00564C2B"/>
    <w:rsid w:val="00564E07"/>
    <w:rsid w:val="00564F4D"/>
    <w:rsid w:val="0056554C"/>
    <w:rsid w:val="00565697"/>
    <w:rsid w:val="00565B04"/>
    <w:rsid w:val="005664E6"/>
    <w:rsid w:val="00566B3D"/>
    <w:rsid w:val="00566D69"/>
    <w:rsid w:val="00567725"/>
    <w:rsid w:val="00567759"/>
    <w:rsid w:val="00570630"/>
    <w:rsid w:val="00570E04"/>
    <w:rsid w:val="005710C3"/>
    <w:rsid w:val="005711FB"/>
    <w:rsid w:val="00571339"/>
    <w:rsid w:val="00571DBC"/>
    <w:rsid w:val="00573198"/>
    <w:rsid w:val="00573545"/>
    <w:rsid w:val="00573585"/>
    <w:rsid w:val="005736F5"/>
    <w:rsid w:val="00574CB8"/>
    <w:rsid w:val="00575526"/>
    <w:rsid w:val="00575E73"/>
    <w:rsid w:val="005764E7"/>
    <w:rsid w:val="00576DBB"/>
    <w:rsid w:val="00577DA9"/>
    <w:rsid w:val="00577FA2"/>
    <w:rsid w:val="005807E2"/>
    <w:rsid w:val="005813A8"/>
    <w:rsid w:val="005817A1"/>
    <w:rsid w:val="00581AA9"/>
    <w:rsid w:val="00581C5A"/>
    <w:rsid w:val="00582B64"/>
    <w:rsid w:val="00582E92"/>
    <w:rsid w:val="00583462"/>
    <w:rsid w:val="00583ABE"/>
    <w:rsid w:val="00583B11"/>
    <w:rsid w:val="00583BD4"/>
    <w:rsid w:val="00583DA6"/>
    <w:rsid w:val="00584219"/>
    <w:rsid w:val="00584260"/>
    <w:rsid w:val="00584C79"/>
    <w:rsid w:val="00584D53"/>
    <w:rsid w:val="005850C6"/>
    <w:rsid w:val="005852E5"/>
    <w:rsid w:val="00585425"/>
    <w:rsid w:val="00585E2F"/>
    <w:rsid w:val="005861B4"/>
    <w:rsid w:val="005863CB"/>
    <w:rsid w:val="00586F6C"/>
    <w:rsid w:val="0058707A"/>
    <w:rsid w:val="00587645"/>
    <w:rsid w:val="0059009F"/>
    <w:rsid w:val="0059027E"/>
    <w:rsid w:val="00590502"/>
    <w:rsid w:val="00590516"/>
    <w:rsid w:val="00590F49"/>
    <w:rsid w:val="00591029"/>
    <w:rsid w:val="00591B64"/>
    <w:rsid w:val="00592085"/>
    <w:rsid w:val="00592CCD"/>
    <w:rsid w:val="0059328B"/>
    <w:rsid w:val="005933EF"/>
    <w:rsid w:val="0059365E"/>
    <w:rsid w:val="00594352"/>
    <w:rsid w:val="005944E0"/>
    <w:rsid w:val="00594E3A"/>
    <w:rsid w:val="0059544F"/>
    <w:rsid w:val="00595650"/>
    <w:rsid w:val="00595698"/>
    <w:rsid w:val="00595D9D"/>
    <w:rsid w:val="005960B6"/>
    <w:rsid w:val="00596AF0"/>
    <w:rsid w:val="00597134"/>
    <w:rsid w:val="0059759B"/>
    <w:rsid w:val="00597692"/>
    <w:rsid w:val="00597793"/>
    <w:rsid w:val="005A0066"/>
    <w:rsid w:val="005A14C2"/>
    <w:rsid w:val="005A24FE"/>
    <w:rsid w:val="005A26A0"/>
    <w:rsid w:val="005A27A0"/>
    <w:rsid w:val="005A2E67"/>
    <w:rsid w:val="005A3B21"/>
    <w:rsid w:val="005A42E3"/>
    <w:rsid w:val="005A536A"/>
    <w:rsid w:val="005A53C6"/>
    <w:rsid w:val="005A5535"/>
    <w:rsid w:val="005A58A7"/>
    <w:rsid w:val="005A6E90"/>
    <w:rsid w:val="005A6EC6"/>
    <w:rsid w:val="005A75C4"/>
    <w:rsid w:val="005B0905"/>
    <w:rsid w:val="005B0994"/>
    <w:rsid w:val="005B116D"/>
    <w:rsid w:val="005B291A"/>
    <w:rsid w:val="005B2BB0"/>
    <w:rsid w:val="005B39BB"/>
    <w:rsid w:val="005B3D5D"/>
    <w:rsid w:val="005B48AD"/>
    <w:rsid w:val="005B4BE9"/>
    <w:rsid w:val="005B5439"/>
    <w:rsid w:val="005B58BE"/>
    <w:rsid w:val="005B5B93"/>
    <w:rsid w:val="005B5DFF"/>
    <w:rsid w:val="005B61BC"/>
    <w:rsid w:val="005B6517"/>
    <w:rsid w:val="005B6CD4"/>
    <w:rsid w:val="005B7144"/>
    <w:rsid w:val="005C24CD"/>
    <w:rsid w:val="005C25D8"/>
    <w:rsid w:val="005C2A67"/>
    <w:rsid w:val="005C2DE7"/>
    <w:rsid w:val="005C377E"/>
    <w:rsid w:val="005C3FC5"/>
    <w:rsid w:val="005C4D03"/>
    <w:rsid w:val="005C551D"/>
    <w:rsid w:val="005C60E2"/>
    <w:rsid w:val="005C6503"/>
    <w:rsid w:val="005C7330"/>
    <w:rsid w:val="005C7835"/>
    <w:rsid w:val="005C78D5"/>
    <w:rsid w:val="005D027E"/>
    <w:rsid w:val="005D05C8"/>
    <w:rsid w:val="005D0699"/>
    <w:rsid w:val="005D098F"/>
    <w:rsid w:val="005D0E7E"/>
    <w:rsid w:val="005D1090"/>
    <w:rsid w:val="005D1B6D"/>
    <w:rsid w:val="005D23EE"/>
    <w:rsid w:val="005D28D2"/>
    <w:rsid w:val="005D31B4"/>
    <w:rsid w:val="005D364F"/>
    <w:rsid w:val="005D37A0"/>
    <w:rsid w:val="005D382B"/>
    <w:rsid w:val="005D416E"/>
    <w:rsid w:val="005D4239"/>
    <w:rsid w:val="005D4473"/>
    <w:rsid w:val="005D45A7"/>
    <w:rsid w:val="005D4B92"/>
    <w:rsid w:val="005D4F43"/>
    <w:rsid w:val="005D55EF"/>
    <w:rsid w:val="005D56F1"/>
    <w:rsid w:val="005D5F7A"/>
    <w:rsid w:val="005D640A"/>
    <w:rsid w:val="005D6841"/>
    <w:rsid w:val="005D691A"/>
    <w:rsid w:val="005D740C"/>
    <w:rsid w:val="005D7D96"/>
    <w:rsid w:val="005E0110"/>
    <w:rsid w:val="005E0E74"/>
    <w:rsid w:val="005E18BC"/>
    <w:rsid w:val="005E19D3"/>
    <w:rsid w:val="005E20BD"/>
    <w:rsid w:val="005E21B7"/>
    <w:rsid w:val="005E22CE"/>
    <w:rsid w:val="005E2321"/>
    <w:rsid w:val="005E25F3"/>
    <w:rsid w:val="005E2907"/>
    <w:rsid w:val="005E2E19"/>
    <w:rsid w:val="005E335E"/>
    <w:rsid w:val="005E3706"/>
    <w:rsid w:val="005E3A6F"/>
    <w:rsid w:val="005E3D73"/>
    <w:rsid w:val="005E4357"/>
    <w:rsid w:val="005E4778"/>
    <w:rsid w:val="005E4929"/>
    <w:rsid w:val="005E4AEF"/>
    <w:rsid w:val="005E4BBF"/>
    <w:rsid w:val="005E5636"/>
    <w:rsid w:val="005E653E"/>
    <w:rsid w:val="005E7527"/>
    <w:rsid w:val="005E7838"/>
    <w:rsid w:val="005F00E0"/>
    <w:rsid w:val="005F17B7"/>
    <w:rsid w:val="005F1BED"/>
    <w:rsid w:val="005F1CF3"/>
    <w:rsid w:val="005F260C"/>
    <w:rsid w:val="005F26D0"/>
    <w:rsid w:val="005F2756"/>
    <w:rsid w:val="005F29AC"/>
    <w:rsid w:val="005F2C78"/>
    <w:rsid w:val="005F2D7F"/>
    <w:rsid w:val="005F330C"/>
    <w:rsid w:val="005F3D69"/>
    <w:rsid w:val="005F3E1E"/>
    <w:rsid w:val="005F4028"/>
    <w:rsid w:val="005F44D0"/>
    <w:rsid w:val="005F4FD0"/>
    <w:rsid w:val="005F614C"/>
    <w:rsid w:val="005F661D"/>
    <w:rsid w:val="005F6D4B"/>
    <w:rsid w:val="005F6F98"/>
    <w:rsid w:val="005F7392"/>
    <w:rsid w:val="005F7EC2"/>
    <w:rsid w:val="006004EB"/>
    <w:rsid w:val="00600ADA"/>
    <w:rsid w:val="00600AF9"/>
    <w:rsid w:val="00600F37"/>
    <w:rsid w:val="00600FF6"/>
    <w:rsid w:val="00601165"/>
    <w:rsid w:val="00601A36"/>
    <w:rsid w:val="00602408"/>
    <w:rsid w:val="0060245B"/>
    <w:rsid w:val="00602960"/>
    <w:rsid w:val="006035AB"/>
    <w:rsid w:val="00603AE3"/>
    <w:rsid w:val="00603B21"/>
    <w:rsid w:val="00603D27"/>
    <w:rsid w:val="006047BD"/>
    <w:rsid w:val="00604A9C"/>
    <w:rsid w:val="0060544F"/>
    <w:rsid w:val="006054F3"/>
    <w:rsid w:val="00606511"/>
    <w:rsid w:val="00606D92"/>
    <w:rsid w:val="00607174"/>
    <w:rsid w:val="00607434"/>
    <w:rsid w:val="00607633"/>
    <w:rsid w:val="00610246"/>
    <w:rsid w:val="00610C3D"/>
    <w:rsid w:val="006111D2"/>
    <w:rsid w:val="00611753"/>
    <w:rsid w:val="006118F1"/>
    <w:rsid w:val="00611ECA"/>
    <w:rsid w:val="006121C4"/>
    <w:rsid w:val="0061287D"/>
    <w:rsid w:val="00612B53"/>
    <w:rsid w:val="00612E8F"/>
    <w:rsid w:val="006136A4"/>
    <w:rsid w:val="00613C59"/>
    <w:rsid w:val="00614579"/>
    <w:rsid w:val="00614F9F"/>
    <w:rsid w:val="00615CAF"/>
    <w:rsid w:val="00616FC4"/>
    <w:rsid w:val="00617016"/>
    <w:rsid w:val="00617561"/>
    <w:rsid w:val="006176F0"/>
    <w:rsid w:val="006178D2"/>
    <w:rsid w:val="006202EA"/>
    <w:rsid w:val="006203CE"/>
    <w:rsid w:val="00620AA7"/>
    <w:rsid w:val="00620AB4"/>
    <w:rsid w:val="00620DBF"/>
    <w:rsid w:val="00621147"/>
    <w:rsid w:val="0062123D"/>
    <w:rsid w:val="0062244C"/>
    <w:rsid w:val="0062275A"/>
    <w:rsid w:val="006232AC"/>
    <w:rsid w:val="00623CAC"/>
    <w:rsid w:val="006245D4"/>
    <w:rsid w:val="00624696"/>
    <w:rsid w:val="00624ED3"/>
    <w:rsid w:val="00625D0F"/>
    <w:rsid w:val="00625E31"/>
    <w:rsid w:val="0062647C"/>
    <w:rsid w:val="00627321"/>
    <w:rsid w:val="00627C35"/>
    <w:rsid w:val="00627D5C"/>
    <w:rsid w:val="006300A6"/>
    <w:rsid w:val="006307EA"/>
    <w:rsid w:val="00630C50"/>
    <w:rsid w:val="00630E71"/>
    <w:rsid w:val="00630F43"/>
    <w:rsid w:val="0063103F"/>
    <w:rsid w:val="00631E6A"/>
    <w:rsid w:val="00632B00"/>
    <w:rsid w:val="00632BDC"/>
    <w:rsid w:val="00632F1E"/>
    <w:rsid w:val="0063399B"/>
    <w:rsid w:val="006339C6"/>
    <w:rsid w:val="00633DD4"/>
    <w:rsid w:val="006344F7"/>
    <w:rsid w:val="00634AF5"/>
    <w:rsid w:val="00634B0A"/>
    <w:rsid w:val="006352BF"/>
    <w:rsid w:val="00635527"/>
    <w:rsid w:val="00635C73"/>
    <w:rsid w:val="006360E4"/>
    <w:rsid w:val="00636695"/>
    <w:rsid w:val="00636950"/>
    <w:rsid w:val="0063722B"/>
    <w:rsid w:val="00637445"/>
    <w:rsid w:val="00637CFC"/>
    <w:rsid w:val="00637F73"/>
    <w:rsid w:val="00640373"/>
    <w:rsid w:val="006405A5"/>
    <w:rsid w:val="006407A0"/>
    <w:rsid w:val="00641081"/>
    <w:rsid w:val="006414B6"/>
    <w:rsid w:val="00641691"/>
    <w:rsid w:val="00641A36"/>
    <w:rsid w:val="00641A80"/>
    <w:rsid w:val="00641D15"/>
    <w:rsid w:val="00642E61"/>
    <w:rsid w:val="00643189"/>
    <w:rsid w:val="00643679"/>
    <w:rsid w:val="00644E67"/>
    <w:rsid w:val="00645FEF"/>
    <w:rsid w:val="00646064"/>
    <w:rsid w:val="00646A42"/>
    <w:rsid w:val="00646AD8"/>
    <w:rsid w:val="00646D01"/>
    <w:rsid w:val="006477FA"/>
    <w:rsid w:val="00647A04"/>
    <w:rsid w:val="00650D16"/>
    <w:rsid w:val="00651272"/>
    <w:rsid w:val="00651462"/>
    <w:rsid w:val="00651519"/>
    <w:rsid w:val="00652E50"/>
    <w:rsid w:val="00653D48"/>
    <w:rsid w:val="00653E46"/>
    <w:rsid w:val="0065442F"/>
    <w:rsid w:val="006551C3"/>
    <w:rsid w:val="00655338"/>
    <w:rsid w:val="00655343"/>
    <w:rsid w:val="0065545C"/>
    <w:rsid w:val="006560F0"/>
    <w:rsid w:val="0065661F"/>
    <w:rsid w:val="00656923"/>
    <w:rsid w:val="00657F94"/>
    <w:rsid w:val="006605D0"/>
    <w:rsid w:val="00660639"/>
    <w:rsid w:val="0066137D"/>
    <w:rsid w:val="00661CF3"/>
    <w:rsid w:val="00661EB3"/>
    <w:rsid w:val="006632B1"/>
    <w:rsid w:val="006635FF"/>
    <w:rsid w:val="006638E5"/>
    <w:rsid w:val="00664572"/>
    <w:rsid w:val="00664DCE"/>
    <w:rsid w:val="0066544B"/>
    <w:rsid w:val="006655E0"/>
    <w:rsid w:val="00665C51"/>
    <w:rsid w:val="00666439"/>
    <w:rsid w:val="00666CFD"/>
    <w:rsid w:val="00666DE8"/>
    <w:rsid w:val="0066704A"/>
    <w:rsid w:val="0066717E"/>
    <w:rsid w:val="00667B7D"/>
    <w:rsid w:val="00667F06"/>
    <w:rsid w:val="006706D6"/>
    <w:rsid w:val="006708BB"/>
    <w:rsid w:val="00670A3E"/>
    <w:rsid w:val="00670F5C"/>
    <w:rsid w:val="00671505"/>
    <w:rsid w:val="0067178A"/>
    <w:rsid w:val="006719D4"/>
    <w:rsid w:val="00671D68"/>
    <w:rsid w:val="006725C1"/>
    <w:rsid w:val="00672E21"/>
    <w:rsid w:val="0067307A"/>
    <w:rsid w:val="00673112"/>
    <w:rsid w:val="006733E7"/>
    <w:rsid w:val="00674446"/>
    <w:rsid w:val="006757B4"/>
    <w:rsid w:val="006768EC"/>
    <w:rsid w:val="0067711D"/>
    <w:rsid w:val="00680974"/>
    <w:rsid w:val="00680AFA"/>
    <w:rsid w:val="00680E9C"/>
    <w:rsid w:val="00681B0D"/>
    <w:rsid w:val="00681DDA"/>
    <w:rsid w:val="00682142"/>
    <w:rsid w:val="0068227C"/>
    <w:rsid w:val="00682D86"/>
    <w:rsid w:val="006834A2"/>
    <w:rsid w:val="0068391A"/>
    <w:rsid w:val="00683C0E"/>
    <w:rsid w:val="00683FFD"/>
    <w:rsid w:val="00684420"/>
    <w:rsid w:val="006848C8"/>
    <w:rsid w:val="006848EE"/>
    <w:rsid w:val="00685490"/>
    <w:rsid w:val="00685C8F"/>
    <w:rsid w:val="00685D49"/>
    <w:rsid w:val="0068629A"/>
    <w:rsid w:val="006863C9"/>
    <w:rsid w:val="00686EBE"/>
    <w:rsid w:val="00686EE8"/>
    <w:rsid w:val="006872B3"/>
    <w:rsid w:val="0068768A"/>
    <w:rsid w:val="00687B7F"/>
    <w:rsid w:val="006900D9"/>
    <w:rsid w:val="0069021D"/>
    <w:rsid w:val="0069039D"/>
    <w:rsid w:val="00690BA6"/>
    <w:rsid w:val="0069107E"/>
    <w:rsid w:val="00691570"/>
    <w:rsid w:val="0069199F"/>
    <w:rsid w:val="006924AB"/>
    <w:rsid w:val="006924C1"/>
    <w:rsid w:val="00692568"/>
    <w:rsid w:val="00692B92"/>
    <w:rsid w:val="00692D52"/>
    <w:rsid w:val="00692D64"/>
    <w:rsid w:val="0069360A"/>
    <w:rsid w:val="00693C05"/>
    <w:rsid w:val="00693CA1"/>
    <w:rsid w:val="00693FE6"/>
    <w:rsid w:val="00694C07"/>
    <w:rsid w:val="00694DEE"/>
    <w:rsid w:val="00694E9D"/>
    <w:rsid w:val="006959EF"/>
    <w:rsid w:val="00695B7A"/>
    <w:rsid w:val="00695F30"/>
    <w:rsid w:val="00696286"/>
    <w:rsid w:val="0069671B"/>
    <w:rsid w:val="00697B5A"/>
    <w:rsid w:val="006A0D3F"/>
    <w:rsid w:val="006A131A"/>
    <w:rsid w:val="006A16AE"/>
    <w:rsid w:val="006A222B"/>
    <w:rsid w:val="006A225A"/>
    <w:rsid w:val="006A2B9D"/>
    <w:rsid w:val="006A2DF3"/>
    <w:rsid w:val="006A2FC8"/>
    <w:rsid w:val="006A3C6A"/>
    <w:rsid w:val="006A4CBA"/>
    <w:rsid w:val="006A4FAD"/>
    <w:rsid w:val="006A5605"/>
    <w:rsid w:val="006A5B5A"/>
    <w:rsid w:val="006A5F88"/>
    <w:rsid w:val="006A678F"/>
    <w:rsid w:val="006A69B8"/>
    <w:rsid w:val="006A7524"/>
    <w:rsid w:val="006A7935"/>
    <w:rsid w:val="006B00C9"/>
    <w:rsid w:val="006B0450"/>
    <w:rsid w:val="006B0542"/>
    <w:rsid w:val="006B08DE"/>
    <w:rsid w:val="006B103E"/>
    <w:rsid w:val="006B1929"/>
    <w:rsid w:val="006B242D"/>
    <w:rsid w:val="006B3316"/>
    <w:rsid w:val="006B3AB1"/>
    <w:rsid w:val="006B3B6B"/>
    <w:rsid w:val="006B4890"/>
    <w:rsid w:val="006B4B57"/>
    <w:rsid w:val="006B4EFA"/>
    <w:rsid w:val="006B522A"/>
    <w:rsid w:val="006B5312"/>
    <w:rsid w:val="006B56BD"/>
    <w:rsid w:val="006B57B4"/>
    <w:rsid w:val="006B604E"/>
    <w:rsid w:val="006B6170"/>
    <w:rsid w:val="006B61D9"/>
    <w:rsid w:val="006B71DE"/>
    <w:rsid w:val="006B7458"/>
    <w:rsid w:val="006B7EB2"/>
    <w:rsid w:val="006C1C1A"/>
    <w:rsid w:val="006C1D13"/>
    <w:rsid w:val="006C2092"/>
    <w:rsid w:val="006C28EC"/>
    <w:rsid w:val="006C30A1"/>
    <w:rsid w:val="006C3353"/>
    <w:rsid w:val="006C33B3"/>
    <w:rsid w:val="006C4110"/>
    <w:rsid w:val="006C453C"/>
    <w:rsid w:val="006C46B7"/>
    <w:rsid w:val="006C4BE6"/>
    <w:rsid w:val="006C4D44"/>
    <w:rsid w:val="006C4DC3"/>
    <w:rsid w:val="006C4E6E"/>
    <w:rsid w:val="006C5A80"/>
    <w:rsid w:val="006C5BA4"/>
    <w:rsid w:val="006C60D1"/>
    <w:rsid w:val="006C64CA"/>
    <w:rsid w:val="006C66D6"/>
    <w:rsid w:val="006C6BBB"/>
    <w:rsid w:val="006C6D5E"/>
    <w:rsid w:val="006C741A"/>
    <w:rsid w:val="006C79C3"/>
    <w:rsid w:val="006C7DA2"/>
    <w:rsid w:val="006D04FB"/>
    <w:rsid w:val="006D0636"/>
    <w:rsid w:val="006D0BE3"/>
    <w:rsid w:val="006D0D76"/>
    <w:rsid w:val="006D1A86"/>
    <w:rsid w:val="006D1B98"/>
    <w:rsid w:val="006D1D63"/>
    <w:rsid w:val="006D2229"/>
    <w:rsid w:val="006D3B3B"/>
    <w:rsid w:val="006D41D7"/>
    <w:rsid w:val="006D4BCB"/>
    <w:rsid w:val="006D4D27"/>
    <w:rsid w:val="006D5045"/>
    <w:rsid w:val="006D6654"/>
    <w:rsid w:val="006D7647"/>
    <w:rsid w:val="006D771E"/>
    <w:rsid w:val="006D7A04"/>
    <w:rsid w:val="006E0091"/>
    <w:rsid w:val="006E015B"/>
    <w:rsid w:val="006E0231"/>
    <w:rsid w:val="006E079C"/>
    <w:rsid w:val="006E0871"/>
    <w:rsid w:val="006E1593"/>
    <w:rsid w:val="006E174B"/>
    <w:rsid w:val="006E2382"/>
    <w:rsid w:val="006E25AE"/>
    <w:rsid w:val="006E2CE9"/>
    <w:rsid w:val="006E3C2D"/>
    <w:rsid w:val="006E3DE9"/>
    <w:rsid w:val="006E3FD6"/>
    <w:rsid w:val="006E44D4"/>
    <w:rsid w:val="006E4633"/>
    <w:rsid w:val="006E46D8"/>
    <w:rsid w:val="006E4799"/>
    <w:rsid w:val="006E4DE2"/>
    <w:rsid w:val="006E5B74"/>
    <w:rsid w:val="006E5D84"/>
    <w:rsid w:val="006E5E3C"/>
    <w:rsid w:val="006E67FC"/>
    <w:rsid w:val="006E6A1E"/>
    <w:rsid w:val="006E7507"/>
    <w:rsid w:val="006E7560"/>
    <w:rsid w:val="006E7CF9"/>
    <w:rsid w:val="006F010B"/>
    <w:rsid w:val="006F0D5D"/>
    <w:rsid w:val="006F0E67"/>
    <w:rsid w:val="006F1D68"/>
    <w:rsid w:val="006F1E8B"/>
    <w:rsid w:val="006F25FC"/>
    <w:rsid w:val="006F305B"/>
    <w:rsid w:val="006F3907"/>
    <w:rsid w:val="006F394B"/>
    <w:rsid w:val="006F485C"/>
    <w:rsid w:val="006F494F"/>
    <w:rsid w:val="006F57BB"/>
    <w:rsid w:val="006F5EF3"/>
    <w:rsid w:val="006F7372"/>
    <w:rsid w:val="006F77C1"/>
    <w:rsid w:val="006F7AAB"/>
    <w:rsid w:val="00700796"/>
    <w:rsid w:val="00700D86"/>
    <w:rsid w:val="00701AA0"/>
    <w:rsid w:val="00701E08"/>
    <w:rsid w:val="00701E53"/>
    <w:rsid w:val="007024A3"/>
    <w:rsid w:val="0070265F"/>
    <w:rsid w:val="00702916"/>
    <w:rsid w:val="00702FE0"/>
    <w:rsid w:val="0070306E"/>
    <w:rsid w:val="00703D39"/>
    <w:rsid w:val="00704326"/>
    <w:rsid w:val="007048D6"/>
    <w:rsid w:val="00704B2E"/>
    <w:rsid w:val="00704F3F"/>
    <w:rsid w:val="00705B4C"/>
    <w:rsid w:val="00706483"/>
    <w:rsid w:val="00706E1C"/>
    <w:rsid w:val="00707848"/>
    <w:rsid w:val="00710A1C"/>
    <w:rsid w:val="00711A14"/>
    <w:rsid w:val="00711C3A"/>
    <w:rsid w:val="00711E65"/>
    <w:rsid w:val="00711E85"/>
    <w:rsid w:val="00711F6D"/>
    <w:rsid w:val="00712584"/>
    <w:rsid w:val="007125CC"/>
    <w:rsid w:val="00712659"/>
    <w:rsid w:val="0071271C"/>
    <w:rsid w:val="0071308B"/>
    <w:rsid w:val="00714876"/>
    <w:rsid w:val="007155C2"/>
    <w:rsid w:val="00715EEB"/>
    <w:rsid w:val="00716437"/>
    <w:rsid w:val="00716831"/>
    <w:rsid w:val="007173E2"/>
    <w:rsid w:val="00717468"/>
    <w:rsid w:val="0072005B"/>
    <w:rsid w:val="007202F9"/>
    <w:rsid w:val="0072078F"/>
    <w:rsid w:val="007208A1"/>
    <w:rsid w:val="007209B8"/>
    <w:rsid w:val="00721137"/>
    <w:rsid w:val="00721A1A"/>
    <w:rsid w:val="00721E13"/>
    <w:rsid w:val="00722248"/>
    <w:rsid w:val="007223B0"/>
    <w:rsid w:val="007228D5"/>
    <w:rsid w:val="00722E50"/>
    <w:rsid w:val="00723E94"/>
    <w:rsid w:val="00723F81"/>
    <w:rsid w:val="00724551"/>
    <w:rsid w:val="00724837"/>
    <w:rsid w:val="0072495A"/>
    <w:rsid w:val="00724F45"/>
    <w:rsid w:val="00725B90"/>
    <w:rsid w:val="00725E7A"/>
    <w:rsid w:val="0072625A"/>
    <w:rsid w:val="007265A2"/>
    <w:rsid w:val="007265C8"/>
    <w:rsid w:val="00726925"/>
    <w:rsid w:val="00726AFA"/>
    <w:rsid w:val="00727852"/>
    <w:rsid w:val="00727FA0"/>
    <w:rsid w:val="007303F0"/>
    <w:rsid w:val="00730439"/>
    <w:rsid w:val="00730E87"/>
    <w:rsid w:val="00731529"/>
    <w:rsid w:val="00731BEA"/>
    <w:rsid w:val="00732967"/>
    <w:rsid w:val="00732FA4"/>
    <w:rsid w:val="007330D0"/>
    <w:rsid w:val="00733576"/>
    <w:rsid w:val="007347DD"/>
    <w:rsid w:val="0073481A"/>
    <w:rsid w:val="00736916"/>
    <w:rsid w:val="00736E0F"/>
    <w:rsid w:val="00736EA0"/>
    <w:rsid w:val="00737937"/>
    <w:rsid w:val="00737C24"/>
    <w:rsid w:val="00737EF7"/>
    <w:rsid w:val="007402AA"/>
    <w:rsid w:val="00740755"/>
    <w:rsid w:val="00741111"/>
    <w:rsid w:val="0074150B"/>
    <w:rsid w:val="00743F39"/>
    <w:rsid w:val="00744FC2"/>
    <w:rsid w:val="0074575F"/>
    <w:rsid w:val="00746F5B"/>
    <w:rsid w:val="00746FF5"/>
    <w:rsid w:val="0074700A"/>
    <w:rsid w:val="00747510"/>
    <w:rsid w:val="0074791A"/>
    <w:rsid w:val="00747BC9"/>
    <w:rsid w:val="00747D2D"/>
    <w:rsid w:val="007505F0"/>
    <w:rsid w:val="00750ADC"/>
    <w:rsid w:val="00750C61"/>
    <w:rsid w:val="0075191D"/>
    <w:rsid w:val="00751F4C"/>
    <w:rsid w:val="00752DE9"/>
    <w:rsid w:val="00753695"/>
    <w:rsid w:val="00753782"/>
    <w:rsid w:val="0075421C"/>
    <w:rsid w:val="00754B3F"/>
    <w:rsid w:val="00755760"/>
    <w:rsid w:val="0075681B"/>
    <w:rsid w:val="00756943"/>
    <w:rsid w:val="0075707B"/>
    <w:rsid w:val="00757E6B"/>
    <w:rsid w:val="007603E5"/>
    <w:rsid w:val="00760402"/>
    <w:rsid w:val="00760F51"/>
    <w:rsid w:val="007619F1"/>
    <w:rsid w:val="00762712"/>
    <w:rsid w:val="00763171"/>
    <w:rsid w:val="007637C8"/>
    <w:rsid w:val="00763EC0"/>
    <w:rsid w:val="00763F75"/>
    <w:rsid w:val="00765140"/>
    <w:rsid w:val="007651D3"/>
    <w:rsid w:val="0076544D"/>
    <w:rsid w:val="0076569F"/>
    <w:rsid w:val="00765DD0"/>
    <w:rsid w:val="007662FD"/>
    <w:rsid w:val="00766707"/>
    <w:rsid w:val="007672E2"/>
    <w:rsid w:val="0076744E"/>
    <w:rsid w:val="007674A2"/>
    <w:rsid w:val="00767C9D"/>
    <w:rsid w:val="00767CC7"/>
    <w:rsid w:val="00767FA4"/>
    <w:rsid w:val="00767FE9"/>
    <w:rsid w:val="007705F6"/>
    <w:rsid w:val="00770831"/>
    <w:rsid w:val="007709BA"/>
    <w:rsid w:val="00770B52"/>
    <w:rsid w:val="0077102E"/>
    <w:rsid w:val="00771192"/>
    <w:rsid w:val="007711E9"/>
    <w:rsid w:val="007715C9"/>
    <w:rsid w:val="00771A69"/>
    <w:rsid w:val="00771DDB"/>
    <w:rsid w:val="00772022"/>
    <w:rsid w:val="00773A21"/>
    <w:rsid w:val="00774033"/>
    <w:rsid w:val="007742B5"/>
    <w:rsid w:val="00775584"/>
    <w:rsid w:val="007779BE"/>
    <w:rsid w:val="007779F4"/>
    <w:rsid w:val="00777B21"/>
    <w:rsid w:val="007801FB"/>
    <w:rsid w:val="00780AA7"/>
    <w:rsid w:val="00780B3F"/>
    <w:rsid w:val="00780BDA"/>
    <w:rsid w:val="00780C80"/>
    <w:rsid w:val="0078135D"/>
    <w:rsid w:val="00781720"/>
    <w:rsid w:val="007817FE"/>
    <w:rsid w:val="00781D7E"/>
    <w:rsid w:val="00782489"/>
    <w:rsid w:val="00783046"/>
    <w:rsid w:val="007830E7"/>
    <w:rsid w:val="007832EF"/>
    <w:rsid w:val="007834DC"/>
    <w:rsid w:val="00783527"/>
    <w:rsid w:val="00783543"/>
    <w:rsid w:val="0078356A"/>
    <w:rsid w:val="00783AC2"/>
    <w:rsid w:val="00783FFD"/>
    <w:rsid w:val="00784007"/>
    <w:rsid w:val="00784342"/>
    <w:rsid w:val="00785224"/>
    <w:rsid w:val="0078531E"/>
    <w:rsid w:val="00785DCC"/>
    <w:rsid w:val="0078643C"/>
    <w:rsid w:val="00786440"/>
    <w:rsid w:val="00787052"/>
    <w:rsid w:val="00787348"/>
    <w:rsid w:val="00787502"/>
    <w:rsid w:val="0079081E"/>
    <w:rsid w:val="00790A3B"/>
    <w:rsid w:val="00790DE8"/>
    <w:rsid w:val="00791314"/>
    <w:rsid w:val="00792552"/>
    <w:rsid w:val="00793CCC"/>
    <w:rsid w:val="0079403F"/>
    <w:rsid w:val="00795051"/>
    <w:rsid w:val="007951F7"/>
    <w:rsid w:val="00795276"/>
    <w:rsid w:val="00795591"/>
    <w:rsid w:val="00795870"/>
    <w:rsid w:val="00795881"/>
    <w:rsid w:val="00796B21"/>
    <w:rsid w:val="00797A25"/>
    <w:rsid w:val="00797AC0"/>
    <w:rsid w:val="007A0774"/>
    <w:rsid w:val="007A0967"/>
    <w:rsid w:val="007A0A88"/>
    <w:rsid w:val="007A0D0D"/>
    <w:rsid w:val="007A1522"/>
    <w:rsid w:val="007A1E2F"/>
    <w:rsid w:val="007A2052"/>
    <w:rsid w:val="007A2169"/>
    <w:rsid w:val="007A2739"/>
    <w:rsid w:val="007A2DC7"/>
    <w:rsid w:val="007A2F5F"/>
    <w:rsid w:val="007A30AB"/>
    <w:rsid w:val="007A375A"/>
    <w:rsid w:val="007A42DC"/>
    <w:rsid w:val="007A4777"/>
    <w:rsid w:val="007A52B4"/>
    <w:rsid w:val="007A5FE1"/>
    <w:rsid w:val="007A757B"/>
    <w:rsid w:val="007A7DC0"/>
    <w:rsid w:val="007A7E83"/>
    <w:rsid w:val="007B021C"/>
    <w:rsid w:val="007B0315"/>
    <w:rsid w:val="007B04AF"/>
    <w:rsid w:val="007B05C6"/>
    <w:rsid w:val="007B073B"/>
    <w:rsid w:val="007B089E"/>
    <w:rsid w:val="007B0BF5"/>
    <w:rsid w:val="007B11F8"/>
    <w:rsid w:val="007B14EB"/>
    <w:rsid w:val="007B1F5E"/>
    <w:rsid w:val="007B2207"/>
    <w:rsid w:val="007B22BE"/>
    <w:rsid w:val="007B245B"/>
    <w:rsid w:val="007B3072"/>
    <w:rsid w:val="007B3725"/>
    <w:rsid w:val="007B374E"/>
    <w:rsid w:val="007B3FD5"/>
    <w:rsid w:val="007B49A1"/>
    <w:rsid w:val="007B4EE2"/>
    <w:rsid w:val="007B5AA8"/>
    <w:rsid w:val="007B5C73"/>
    <w:rsid w:val="007B5E2A"/>
    <w:rsid w:val="007B70BB"/>
    <w:rsid w:val="007B73C2"/>
    <w:rsid w:val="007B76F6"/>
    <w:rsid w:val="007B7C49"/>
    <w:rsid w:val="007C0199"/>
    <w:rsid w:val="007C2687"/>
    <w:rsid w:val="007C3E11"/>
    <w:rsid w:val="007C40D9"/>
    <w:rsid w:val="007C47C2"/>
    <w:rsid w:val="007C5170"/>
    <w:rsid w:val="007C5451"/>
    <w:rsid w:val="007C546F"/>
    <w:rsid w:val="007C5FB6"/>
    <w:rsid w:val="007C62B6"/>
    <w:rsid w:val="007C6B50"/>
    <w:rsid w:val="007C799A"/>
    <w:rsid w:val="007C7AB5"/>
    <w:rsid w:val="007C7EF8"/>
    <w:rsid w:val="007C7FD9"/>
    <w:rsid w:val="007D0297"/>
    <w:rsid w:val="007D087D"/>
    <w:rsid w:val="007D0F03"/>
    <w:rsid w:val="007D0F30"/>
    <w:rsid w:val="007D108B"/>
    <w:rsid w:val="007D19B5"/>
    <w:rsid w:val="007D2A51"/>
    <w:rsid w:val="007D2CCD"/>
    <w:rsid w:val="007D2D65"/>
    <w:rsid w:val="007D3872"/>
    <w:rsid w:val="007D4299"/>
    <w:rsid w:val="007D45F9"/>
    <w:rsid w:val="007D4E3F"/>
    <w:rsid w:val="007D6937"/>
    <w:rsid w:val="007D7FAA"/>
    <w:rsid w:val="007E09CD"/>
    <w:rsid w:val="007E1316"/>
    <w:rsid w:val="007E3B5A"/>
    <w:rsid w:val="007E3CB0"/>
    <w:rsid w:val="007E3F1B"/>
    <w:rsid w:val="007E40ED"/>
    <w:rsid w:val="007E469D"/>
    <w:rsid w:val="007E503A"/>
    <w:rsid w:val="007E56E2"/>
    <w:rsid w:val="007E6140"/>
    <w:rsid w:val="007E6582"/>
    <w:rsid w:val="007E67F4"/>
    <w:rsid w:val="007E680A"/>
    <w:rsid w:val="007E6C18"/>
    <w:rsid w:val="007E6E5C"/>
    <w:rsid w:val="007E73EA"/>
    <w:rsid w:val="007E751A"/>
    <w:rsid w:val="007E76B6"/>
    <w:rsid w:val="007E76EA"/>
    <w:rsid w:val="007F08A3"/>
    <w:rsid w:val="007F08BD"/>
    <w:rsid w:val="007F08D7"/>
    <w:rsid w:val="007F15C4"/>
    <w:rsid w:val="007F16C7"/>
    <w:rsid w:val="007F21C2"/>
    <w:rsid w:val="007F289F"/>
    <w:rsid w:val="007F2D9C"/>
    <w:rsid w:val="007F3398"/>
    <w:rsid w:val="007F3711"/>
    <w:rsid w:val="007F411C"/>
    <w:rsid w:val="007F434E"/>
    <w:rsid w:val="007F488C"/>
    <w:rsid w:val="007F4C11"/>
    <w:rsid w:val="007F523E"/>
    <w:rsid w:val="007F5F13"/>
    <w:rsid w:val="007F6734"/>
    <w:rsid w:val="007F7608"/>
    <w:rsid w:val="0080016D"/>
    <w:rsid w:val="0080186D"/>
    <w:rsid w:val="00801B93"/>
    <w:rsid w:val="00802B0F"/>
    <w:rsid w:val="00802D73"/>
    <w:rsid w:val="008030C8"/>
    <w:rsid w:val="008048A1"/>
    <w:rsid w:val="00804AA0"/>
    <w:rsid w:val="00804C2B"/>
    <w:rsid w:val="00804CEF"/>
    <w:rsid w:val="00805168"/>
    <w:rsid w:val="00805175"/>
    <w:rsid w:val="00805812"/>
    <w:rsid w:val="00805BB2"/>
    <w:rsid w:val="00805E7F"/>
    <w:rsid w:val="008061A3"/>
    <w:rsid w:val="00806556"/>
    <w:rsid w:val="00806A04"/>
    <w:rsid w:val="00807B6B"/>
    <w:rsid w:val="00807C9E"/>
    <w:rsid w:val="008100C2"/>
    <w:rsid w:val="00810172"/>
    <w:rsid w:val="0081026B"/>
    <w:rsid w:val="00810FB4"/>
    <w:rsid w:val="008118C0"/>
    <w:rsid w:val="00811DB9"/>
    <w:rsid w:val="0081217C"/>
    <w:rsid w:val="00812A38"/>
    <w:rsid w:val="0081419D"/>
    <w:rsid w:val="00814A89"/>
    <w:rsid w:val="00814AF5"/>
    <w:rsid w:val="00814C6B"/>
    <w:rsid w:val="00815167"/>
    <w:rsid w:val="00815D0E"/>
    <w:rsid w:val="00816A62"/>
    <w:rsid w:val="00817456"/>
    <w:rsid w:val="00817C91"/>
    <w:rsid w:val="008202DB"/>
    <w:rsid w:val="00820764"/>
    <w:rsid w:val="00820808"/>
    <w:rsid w:val="00820F85"/>
    <w:rsid w:val="00821768"/>
    <w:rsid w:val="00821EFB"/>
    <w:rsid w:val="00822151"/>
    <w:rsid w:val="0082263A"/>
    <w:rsid w:val="0082268B"/>
    <w:rsid w:val="00822E2B"/>
    <w:rsid w:val="008237EB"/>
    <w:rsid w:val="00823940"/>
    <w:rsid w:val="00823C15"/>
    <w:rsid w:val="00823F8A"/>
    <w:rsid w:val="00824490"/>
    <w:rsid w:val="00824761"/>
    <w:rsid w:val="00824BE1"/>
    <w:rsid w:val="00825227"/>
    <w:rsid w:val="00825336"/>
    <w:rsid w:val="00825476"/>
    <w:rsid w:val="008258D1"/>
    <w:rsid w:val="008266C8"/>
    <w:rsid w:val="00826999"/>
    <w:rsid w:val="00826B58"/>
    <w:rsid w:val="0082771D"/>
    <w:rsid w:val="00827837"/>
    <w:rsid w:val="00830715"/>
    <w:rsid w:val="0083159D"/>
    <w:rsid w:val="008319AF"/>
    <w:rsid w:val="0083242E"/>
    <w:rsid w:val="00832457"/>
    <w:rsid w:val="008328B0"/>
    <w:rsid w:val="00832B67"/>
    <w:rsid w:val="00832F77"/>
    <w:rsid w:val="00833465"/>
    <w:rsid w:val="008335AA"/>
    <w:rsid w:val="008353A1"/>
    <w:rsid w:val="00835D5B"/>
    <w:rsid w:val="00835D5C"/>
    <w:rsid w:val="00836395"/>
    <w:rsid w:val="008363CB"/>
    <w:rsid w:val="00837197"/>
    <w:rsid w:val="008375B5"/>
    <w:rsid w:val="008375DF"/>
    <w:rsid w:val="008378D9"/>
    <w:rsid w:val="00837D5C"/>
    <w:rsid w:val="00840350"/>
    <w:rsid w:val="0084048B"/>
    <w:rsid w:val="008409DA"/>
    <w:rsid w:val="00840A35"/>
    <w:rsid w:val="00840CE8"/>
    <w:rsid w:val="00841160"/>
    <w:rsid w:val="008416C0"/>
    <w:rsid w:val="008418AF"/>
    <w:rsid w:val="00842290"/>
    <w:rsid w:val="0084239F"/>
    <w:rsid w:val="0084288B"/>
    <w:rsid w:val="008429CC"/>
    <w:rsid w:val="00842AC1"/>
    <w:rsid w:val="0084300E"/>
    <w:rsid w:val="00843058"/>
    <w:rsid w:val="00843D5F"/>
    <w:rsid w:val="00844232"/>
    <w:rsid w:val="00844884"/>
    <w:rsid w:val="0084511F"/>
    <w:rsid w:val="008468A0"/>
    <w:rsid w:val="00846BB5"/>
    <w:rsid w:val="00846D03"/>
    <w:rsid w:val="00847584"/>
    <w:rsid w:val="008476F1"/>
    <w:rsid w:val="0085162E"/>
    <w:rsid w:val="00852A65"/>
    <w:rsid w:val="008532CE"/>
    <w:rsid w:val="008532FE"/>
    <w:rsid w:val="00853A8D"/>
    <w:rsid w:val="00853B17"/>
    <w:rsid w:val="00853E9F"/>
    <w:rsid w:val="00853F7C"/>
    <w:rsid w:val="0085505A"/>
    <w:rsid w:val="00855162"/>
    <w:rsid w:val="00856A2B"/>
    <w:rsid w:val="00856BBF"/>
    <w:rsid w:val="00856E1C"/>
    <w:rsid w:val="00856E2C"/>
    <w:rsid w:val="0085744E"/>
    <w:rsid w:val="00857A9F"/>
    <w:rsid w:val="0086002A"/>
    <w:rsid w:val="00860BDA"/>
    <w:rsid w:val="00861DF2"/>
    <w:rsid w:val="008621D9"/>
    <w:rsid w:val="00862680"/>
    <w:rsid w:val="00863042"/>
    <w:rsid w:val="008633BD"/>
    <w:rsid w:val="008635A7"/>
    <w:rsid w:val="00863649"/>
    <w:rsid w:val="0086555F"/>
    <w:rsid w:val="008659E0"/>
    <w:rsid w:val="00865B24"/>
    <w:rsid w:val="00866085"/>
    <w:rsid w:val="00866138"/>
    <w:rsid w:val="00866694"/>
    <w:rsid w:val="008668D5"/>
    <w:rsid w:val="00866E0C"/>
    <w:rsid w:val="008678B7"/>
    <w:rsid w:val="00867A98"/>
    <w:rsid w:val="00870E0E"/>
    <w:rsid w:val="0087244F"/>
    <w:rsid w:val="008729E0"/>
    <w:rsid w:val="008738D0"/>
    <w:rsid w:val="00873D42"/>
    <w:rsid w:val="008749F9"/>
    <w:rsid w:val="00875205"/>
    <w:rsid w:val="0087592D"/>
    <w:rsid w:val="00875DE6"/>
    <w:rsid w:val="00875FD0"/>
    <w:rsid w:val="008766BF"/>
    <w:rsid w:val="0087688B"/>
    <w:rsid w:val="008805DA"/>
    <w:rsid w:val="00881121"/>
    <w:rsid w:val="00881F8F"/>
    <w:rsid w:val="008823A2"/>
    <w:rsid w:val="00882771"/>
    <w:rsid w:val="00884CB8"/>
    <w:rsid w:val="00885541"/>
    <w:rsid w:val="00885C23"/>
    <w:rsid w:val="00886076"/>
    <w:rsid w:val="00886859"/>
    <w:rsid w:val="00886995"/>
    <w:rsid w:val="008869A2"/>
    <w:rsid w:val="00886A34"/>
    <w:rsid w:val="00886B9B"/>
    <w:rsid w:val="0089044E"/>
    <w:rsid w:val="00891362"/>
    <w:rsid w:val="008925E0"/>
    <w:rsid w:val="008926C7"/>
    <w:rsid w:val="0089325D"/>
    <w:rsid w:val="00893ACE"/>
    <w:rsid w:val="00894230"/>
    <w:rsid w:val="00894441"/>
    <w:rsid w:val="00894ACD"/>
    <w:rsid w:val="008955B5"/>
    <w:rsid w:val="0089633C"/>
    <w:rsid w:val="008965D1"/>
    <w:rsid w:val="00896E9A"/>
    <w:rsid w:val="00896F00"/>
    <w:rsid w:val="00897171"/>
    <w:rsid w:val="008972D1"/>
    <w:rsid w:val="008977CE"/>
    <w:rsid w:val="00897903"/>
    <w:rsid w:val="008A01E6"/>
    <w:rsid w:val="008A0334"/>
    <w:rsid w:val="008A142D"/>
    <w:rsid w:val="008A1BBD"/>
    <w:rsid w:val="008A1F83"/>
    <w:rsid w:val="008A203E"/>
    <w:rsid w:val="008A31CC"/>
    <w:rsid w:val="008A3366"/>
    <w:rsid w:val="008A37F6"/>
    <w:rsid w:val="008A4409"/>
    <w:rsid w:val="008A46D3"/>
    <w:rsid w:val="008A476D"/>
    <w:rsid w:val="008A5372"/>
    <w:rsid w:val="008A54B4"/>
    <w:rsid w:val="008A5868"/>
    <w:rsid w:val="008A5A95"/>
    <w:rsid w:val="008A5AE7"/>
    <w:rsid w:val="008A6179"/>
    <w:rsid w:val="008A6185"/>
    <w:rsid w:val="008A6AE0"/>
    <w:rsid w:val="008A79F7"/>
    <w:rsid w:val="008B04D4"/>
    <w:rsid w:val="008B056E"/>
    <w:rsid w:val="008B0AC2"/>
    <w:rsid w:val="008B0C99"/>
    <w:rsid w:val="008B0D70"/>
    <w:rsid w:val="008B0EE9"/>
    <w:rsid w:val="008B1092"/>
    <w:rsid w:val="008B12D0"/>
    <w:rsid w:val="008B1939"/>
    <w:rsid w:val="008B3856"/>
    <w:rsid w:val="008B3D0E"/>
    <w:rsid w:val="008B5135"/>
    <w:rsid w:val="008B5321"/>
    <w:rsid w:val="008B5DD7"/>
    <w:rsid w:val="008B5F57"/>
    <w:rsid w:val="008B6931"/>
    <w:rsid w:val="008B6A20"/>
    <w:rsid w:val="008B6D97"/>
    <w:rsid w:val="008B732B"/>
    <w:rsid w:val="008B7399"/>
    <w:rsid w:val="008B7AD6"/>
    <w:rsid w:val="008B7EF5"/>
    <w:rsid w:val="008C1211"/>
    <w:rsid w:val="008C1796"/>
    <w:rsid w:val="008C1A8B"/>
    <w:rsid w:val="008C32CF"/>
    <w:rsid w:val="008C3524"/>
    <w:rsid w:val="008C3653"/>
    <w:rsid w:val="008C3736"/>
    <w:rsid w:val="008C41E7"/>
    <w:rsid w:val="008C42F9"/>
    <w:rsid w:val="008C440B"/>
    <w:rsid w:val="008C4491"/>
    <w:rsid w:val="008C4AAF"/>
    <w:rsid w:val="008C4BD1"/>
    <w:rsid w:val="008C5456"/>
    <w:rsid w:val="008C555F"/>
    <w:rsid w:val="008C5F60"/>
    <w:rsid w:val="008C60DF"/>
    <w:rsid w:val="008C6883"/>
    <w:rsid w:val="008C6944"/>
    <w:rsid w:val="008C6EE2"/>
    <w:rsid w:val="008C6FFA"/>
    <w:rsid w:val="008C765A"/>
    <w:rsid w:val="008C7E33"/>
    <w:rsid w:val="008D0B95"/>
    <w:rsid w:val="008D0EA1"/>
    <w:rsid w:val="008D124F"/>
    <w:rsid w:val="008D1F0C"/>
    <w:rsid w:val="008D2EE6"/>
    <w:rsid w:val="008D3521"/>
    <w:rsid w:val="008D3DFC"/>
    <w:rsid w:val="008D3F88"/>
    <w:rsid w:val="008D47E8"/>
    <w:rsid w:val="008D47FF"/>
    <w:rsid w:val="008D4920"/>
    <w:rsid w:val="008D4C07"/>
    <w:rsid w:val="008D5962"/>
    <w:rsid w:val="008D7128"/>
    <w:rsid w:val="008D71C7"/>
    <w:rsid w:val="008D72A0"/>
    <w:rsid w:val="008D7EFD"/>
    <w:rsid w:val="008E003A"/>
    <w:rsid w:val="008E0601"/>
    <w:rsid w:val="008E10FE"/>
    <w:rsid w:val="008E296D"/>
    <w:rsid w:val="008E2A0D"/>
    <w:rsid w:val="008E3461"/>
    <w:rsid w:val="008E3AAC"/>
    <w:rsid w:val="008E3E2B"/>
    <w:rsid w:val="008E3F01"/>
    <w:rsid w:val="008E41E5"/>
    <w:rsid w:val="008E48D4"/>
    <w:rsid w:val="008E49CE"/>
    <w:rsid w:val="008E4B6F"/>
    <w:rsid w:val="008E4C5A"/>
    <w:rsid w:val="008E4DA8"/>
    <w:rsid w:val="008E536F"/>
    <w:rsid w:val="008E5CAB"/>
    <w:rsid w:val="008E61E1"/>
    <w:rsid w:val="008E6993"/>
    <w:rsid w:val="008E7316"/>
    <w:rsid w:val="008E76BE"/>
    <w:rsid w:val="008E76C1"/>
    <w:rsid w:val="008E7929"/>
    <w:rsid w:val="008E7A4F"/>
    <w:rsid w:val="008F2C98"/>
    <w:rsid w:val="008F2CE9"/>
    <w:rsid w:val="008F2D31"/>
    <w:rsid w:val="008F3554"/>
    <w:rsid w:val="008F3950"/>
    <w:rsid w:val="008F47E3"/>
    <w:rsid w:val="008F52E1"/>
    <w:rsid w:val="008F6006"/>
    <w:rsid w:val="008F61AF"/>
    <w:rsid w:val="008F6246"/>
    <w:rsid w:val="008F69D3"/>
    <w:rsid w:val="008F6AB2"/>
    <w:rsid w:val="008F7700"/>
    <w:rsid w:val="008F7BE4"/>
    <w:rsid w:val="00900170"/>
    <w:rsid w:val="0090054A"/>
    <w:rsid w:val="00900C31"/>
    <w:rsid w:val="00901293"/>
    <w:rsid w:val="0090164D"/>
    <w:rsid w:val="00901FAE"/>
    <w:rsid w:val="009027F7"/>
    <w:rsid w:val="009049C3"/>
    <w:rsid w:val="009058DD"/>
    <w:rsid w:val="00906EF4"/>
    <w:rsid w:val="00907176"/>
    <w:rsid w:val="009073E8"/>
    <w:rsid w:val="00907BD7"/>
    <w:rsid w:val="00911084"/>
    <w:rsid w:val="009112E5"/>
    <w:rsid w:val="00911429"/>
    <w:rsid w:val="00912A37"/>
    <w:rsid w:val="00913214"/>
    <w:rsid w:val="0091345F"/>
    <w:rsid w:val="009139C9"/>
    <w:rsid w:val="00913D50"/>
    <w:rsid w:val="0091414A"/>
    <w:rsid w:val="009142C8"/>
    <w:rsid w:val="00914987"/>
    <w:rsid w:val="00914CB0"/>
    <w:rsid w:val="0091570A"/>
    <w:rsid w:val="00915776"/>
    <w:rsid w:val="00915CBB"/>
    <w:rsid w:val="00916983"/>
    <w:rsid w:val="00916EAF"/>
    <w:rsid w:val="009171A6"/>
    <w:rsid w:val="009179EA"/>
    <w:rsid w:val="00917D52"/>
    <w:rsid w:val="00917E2B"/>
    <w:rsid w:val="00920523"/>
    <w:rsid w:val="00920B86"/>
    <w:rsid w:val="0092136C"/>
    <w:rsid w:val="00921EFF"/>
    <w:rsid w:val="009220C0"/>
    <w:rsid w:val="009221C5"/>
    <w:rsid w:val="009224D3"/>
    <w:rsid w:val="00922570"/>
    <w:rsid w:val="009228B5"/>
    <w:rsid w:val="00922A0C"/>
    <w:rsid w:val="00922A43"/>
    <w:rsid w:val="009235FA"/>
    <w:rsid w:val="00924B32"/>
    <w:rsid w:val="009257B1"/>
    <w:rsid w:val="00926320"/>
    <w:rsid w:val="00927072"/>
    <w:rsid w:val="00927AB4"/>
    <w:rsid w:val="00930D1C"/>
    <w:rsid w:val="00931E2F"/>
    <w:rsid w:val="009325AD"/>
    <w:rsid w:val="009327BB"/>
    <w:rsid w:val="00932AC4"/>
    <w:rsid w:val="00932C73"/>
    <w:rsid w:val="009331BC"/>
    <w:rsid w:val="00933816"/>
    <w:rsid w:val="00933B4E"/>
    <w:rsid w:val="00933B80"/>
    <w:rsid w:val="00933E92"/>
    <w:rsid w:val="00934024"/>
    <w:rsid w:val="00934723"/>
    <w:rsid w:val="00934EB6"/>
    <w:rsid w:val="00936F1F"/>
    <w:rsid w:val="009375A8"/>
    <w:rsid w:val="00937EAF"/>
    <w:rsid w:val="00937F4D"/>
    <w:rsid w:val="00940253"/>
    <w:rsid w:val="00940993"/>
    <w:rsid w:val="00942B33"/>
    <w:rsid w:val="009434BA"/>
    <w:rsid w:val="0094398D"/>
    <w:rsid w:val="00943BB1"/>
    <w:rsid w:val="00945123"/>
    <w:rsid w:val="0094526D"/>
    <w:rsid w:val="0094669E"/>
    <w:rsid w:val="00946BFE"/>
    <w:rsid w:val="00947138"/>
    <w:rsid w:val="00947682"/>
    <w:rsid w:val="009518B6"/>
    <w:rsid w:val="0095294A"/>
    <w:rsid w:val="00952DEC"/>
    <w:rsid w:val="0095324B"/>
    <w:rsid w:val="00953857"/>
    <w:rsid w:val="00954ABC"/>
    <w:rsid w:val="00954B7B"/>
    <w:rsid w:val="00955437"/>
    <w:rsid w:val="00955FC6"/>
    <w:rsid w:val="00956042"/>
    <w:rsid w:val="00957686"/>
    <w:rsid w:val="00957C93"/>
    <w:rsid w:val="00960978"/>
    <w:rsid w:val="009609A7"/>
    <w:rsid w:val="00960A5B"/>
    <w:rsid w:val="00960D99"/>
    <w:rsid w:val="00961CD8"/>
    <w:rsid w:val="0096206A"/>
    <w:rsid w:val="0096218F"/>
    <w:rsid w:val="009624C8"/>
    <w:rsid w:val="009628A5"/>
    <w:rsid w:val="009629AD"/>
    <w:rsid w:val="00962E2A"/>
    <w:rsid w:val="00962F4E"/>
    <w:rsid w:val="00962FB4"/>
    <w:rsid w:val="00962FFD"/>
    <w:rsid w:val="00963364"/>
    <w:rsid w:val="00963397"/>
    <w:rsid w:val="0096357A"/>
    <w:rsid w:val="00963D96"/>
    <w:rsid w:val="009641CD"/>
    <w:rsid w:val="009642DC"/>
    <w:rsid w:val="00964A2F"/>
    <w:rsid w:val="00964C81"/>
    <w:rsid w:val="009652E5"/>
    <w:rsid w:val="0096544E"/>
    <w:rsid w:val="0096658E"/>
    <w:rsid w:val="00967973"/>
    <w:rsid w:val="00967ABF"/>
    <w:rsid w:val="00970285"/>
    <w:rsid w:val="009707C9"/>
    <w:rsid w:val="009707DB"/>
    <w:rsid w:val="00970A93"/>
    <w:rsid w:val="009712E5"/>
    <w:rsid w:val="009719C6"/>
    <w:rsid w:val="00971BA5"/>
    <w:rsid w:val="00971D55"/>
    <w:rsid w:val="00972412"/>
    <w:rsid w:val="00972947"/>
    <w:rsid w:val="00972E44"/>
    <w:rsid w:val="00974A98"/>
    <w:rsid w:val="00975370"/>
    <w:rsid w:val="0097601B"/>
    <w:rsid w:val="00976436"/>
    <w:rsid w:val="0097650C"/>
    <w:rsid w:val="00976A20"/>
    <w:rsid w:val="00976CCF"/>
    <w:rsid w:val="00977284"/>
    <w:rsid w:val="00977312"/>
    <w:rsid w:val="00977399"/>
    <w:rsid w:val="0097744F"/>
    <w:rsid w:val="0097757C"/>
    <w:rsid w:val="00980177"/>
    <w:rsid w:val="0098174B"/>
    <w:rsid w:val="00981CAE"/>
    <w:rsid w:val="00981D55"/>
    <w:rsid w:val="00982647"/>
    <w:rsid w:val="0098325A"/>
    <w:rsid w:val="00983CFB"/>
    <w:rsid w:val="00983EE6"/>
    <w:rsid w:val="009857E9"/>
    <w:rsid w:val="00985DED"/>
    <w:rsid w:val="00985FB3"/>
    <w:rsid w:val="009864B7"/>
    <w:rsid w:val="00986650"/>
    <w:rsid w:val="00986D7C"/>
    <w:rsid w:val="00987872"/>
    <w:rsid w:val="009917C6"/>
    <w:rsid w:val="00991826"/>
    <w:rsid w:val="00991897"/>
    <w:rsid w:val="009919EB"/>
    <w:rsid w:val="0099206D"/>
    <w:rsid w:val="009921C7"/>
    <w:rsid w:val="00992317"/>
    <w:rsid w:val="009923C9"/>
    <w:rsid w:val="009924F6"/>
    <w:rsid w:val="0099250C"/>
    <w:rsid w:val="00992AEE"/>
    <w:rsid w:val="00992CB4"/>
    <w:rsid w:val="009940D3"/>
    <w:rsid w:val="00995141"/>
    <w:rsid w:val="00995827"/>
    <w:rsid w:val="009966F0"/>
    <w:rsid w:val="00996C38"/>
    <w:rsid w:val="00996DFE"/>
    <w:rsid w:val="009974A2"/>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3615"/>
    <w:rsid w:val="009A3BA3"/>
    <w:rsid w:val="009A3F8B"/>
    <w:rsid w:val="009A4198"/>
    <w:rsid w:val="009A4C18"/>
    <w:rsid w:val="009A5D96"/>
    <w:rsid w:val="009A5EF2"/>
    <w:rsid w:val="009A6137"/>
    <w:rsid w:val="009A6182"/>
    <w:rsid w:val="009A61F2"/>
    <w:rsid w:val="009A635F"/>
    <w:rsid w:val="009A658E"/>
    <w:rsid w:val="009A68BB"/>
    <w:rsid w:val="009A6D60"/>
    <w:rsid w:val="009A757B"/>
    <w:rsid w:val="009A76BF"/>
    <w:rsid w:val="009B0022"/>
    <w:rsid w:val="009B0A18"/>
    <w:rsid w:val="009B0D39"/>
    <w:rsid w:val="009B0EE6"/>
    <w:rsid w:val="009B11F0"/>
    <w:rsid w:val="009B1C2A"/>
    <w:rsid w:val="009B240C"/>
    <w:rsid w:val="009B2AB4"/>
    <w:rsid w:val="009B2C90"/>
    <w:rsid w:val="009B310A"/>
    <w:rsid w:val="009B3650"/>
    <w:rsid w:val="009B39FC"/>
    <w:rsid w:val="009B3F6A"/>
    <w:rsid w:val="009B48F1"/>
    <w:rsid w:val="009B4903"/>
    <w:rsid w:val="009B4DC9"/>
    <w:rsid w:val="009B51B2"/>
    <w:rsid w:val="009B54ED"/>
    <w:rsid w:val="009B5FE7"/>
    <w:rsid w:val="009B638B"/>
    <w:rsid w:val="009C03F0"/>
    <w:rsid w:val="009C1067"/>
    <w:rsid w:val="009C1497"/>
    <w:rsid w:val="009C18FD"/>
    <w:rsid w:val="009C1A97"/>
    <w:rsid w:val="009C1D32"/>
    <w:rsid w:val="009C254A"/>
    <w:rsid w:val="009C27A8"/>
    <w:rsid w:val="009C2E48"/>
    <w:rsid w:val="009C3467"/>
    <w:rsid w:val="009C3C7A"/>
    <w:rsid w:val="009C4D97"/>
    <w:rsid w:val="009C5298"/>
    <w:rsid w:val="009C5AC6"/>
    <w:rsid w:val="009C5B8B"/>
    <w:rsid w:val="009C5EE7"/>
    <w:rsid w:val="009C6C03"/>
    <w:rsid w:val="009C7A4E"/>
    <w:rsid w:val="009C7A8A"/>
    <w:rsid w:val="009D01C0"/>
    <w:rsid w:val="009D0C77"/>
    <w:rsid w:val="009D12B8"/>
    <w:rsid w:val="009D1F24"/>
    <w:rsid w:val="009D2BFC"/>
    <w:rsid w:val="009D3136"/>
    <w:rsid w:val="009D33D0"/>
    <w:rsid w:val="009D35C0"/>
    <w:rsid w:val="009D3CED"/>
    <w:rsid w:val="009D42AB"/>
    <w:rsid w:val="009D57C0"/>
    <w:rsid w:val="009D59D1"/>
    <w:rsid w:val="009D688B"/>
    <w:rsid w:val="009D701F"/>
    <w:rsid w:val="009D72DC"/>
    <w:rsid w:val="009D790F"/>
    <w:rsid w:val="009D7BD1"/>
    <w:rsid w:val="009E092A"/>
    <w:rsid w:val="009E0DB5"/>
    <w:rsid w:val="009E204F"/>
    <w:rsid w:val="009E2ABB"/>
    <w:rsid w:val="009E3338"/>
    <w:rsid w:val="009E337E"/>
    <w:rsid w:val="009E3BE0"/>
    <w:rsid w:val="009E4631"/>
    <w:rsid w:val="009E4AE5"/>
    <w:rsid w:val="009E4BC7"/>
    <w:rsid w:val="009E4E82"/>
    <w:rsid w:val="009E5063"/>
    <w:rsid w:val="009E591E"/>
    <w:rsid w:val="009E5F91"/>
    <w:rsid w:val="009E60C2"/>
    <w:rsid w:val="009E6599"/>
    <w:rsid w:val="009E6DE1"/>
    <w:rsid w:val="009E6E25"/>
    <w:rsid w:val="009E77B6"/>
    <w:rsid w:val="009E78A3"/>
    <w:rsid w:val="009E7B9C"/>
    <w:rsid w:val="009F044B"/>
    <w:rsid w:val="009F069E"/>
    <w:rsid w:val="009F0D03"/>
    <w:rsid w:val="009F0D59"/>
    <w:rsid w:val="009F16A1"/>
    <w:rsid w:val="009F17B3"/>
    <w:rsid w:val="009F1D3A"/>
    <w:rsid w:val="009F22D2"/>
    <w:rsid w:val="009F276F"/>
    <w:rsid w:val="009F2CE9"/>
    <w:rsid w:val="009F3004"/>
    <w:rsid w:val="009F334B"/>
    <w:rsid w:val="009F3748"/>
    <w:rsid w:val="009F3CC0"/>
    <w:rsid w:val="009F43BE"/>
    <w:rsid w:val="009F5082"/>
    <w:rsid w:val="009F54B0"/>
    <w:rsid w:val="009F5509"/>
    <w:rsid w:val="009F598C"/>
    <w:rsid w:val="009F5B4A"/>
    <w:rsid w:val="009F5B5F"/>
    <w:rsid w:val="009F5BF3"/>
    <w:rsid w:val="009F6268"/>
    <w:rsid w:val="009F6AEE"/>
    <w:rsid w:val="009F70B8"/>
    <w:rsid w:val="00A00B8F"/>
    <w:rsid w:val="00A00E0F"/>
    <w:rsid w:val="00A011AA"/>
    <w:rsid w:val="00A013C0"/>
    <w:rsid w:val="00A013F6"/>
    <w:rsid w:val="00A0373E"/>
    <w:rsid w:val="00A055A0"/>
    <w:rsid w:val="00A05B0A"/>
    <w:rsid w:val="00A05DBF"/>
    <w:rsid w:val="00A06034"/>
    <w:rsid w:val="00A067C3"/>
    <w:rsid w:val="00A06ABB"/>
    <w:rsid w:val="00A06EAA"/>
    <w:rsid w:val="00A06F95"/>
    <w:rsid w:val="00A070EA"/>
    <w:rsid w:val="00A07269"/>
    <w:rsid w:val="00A07326"/>
    <w:rsid w:val="00A07621"/>
    <w:rsid w:val="00A07946"/>
    <w:rsid w:val="00A07B82"/>
    <w:rsid w:val="00A07E0D"/>
    <w:rsid w:val="00A10DF5"/>
    <w:rsid w:val="00A10E9F"/>
    <w:rsid w:val="00A11145"/>
    <w:rsid w:val="00A11F60"/>
    <w:rsid w:val="00A12396"/>
    <w:rsid w:val="00A129BC"/>
    <w:rsid w:val="00A12A34"/>
    <w:rsid w:val="00A12E0D"/>
    <w:rsid w:val="00A13B4E"/>
    <w:rsid w:val="00A13CC1"/>
    <w:rsid w:val="00A14907"/>
    <w:rsid w:val="00A14D5A"/>
    <w:rsid w:val="00A157AD"/>
    <w:rsid w:val="00A158F5"/>
    <w:rsid w:val="00A15DBC"/>
    <w:rsid w:val="00A15EB5"/>
    <w:rsid w:val="00A17007"/>
    <w:rsid w:val="00A17395"/>
    <w:rsid w:val="00A17A90"/>
    <w:rsid w:val="00A206E5"/>
    <w:rsid w:val="00A2085E"/>
    <w:rsid w:val="00A20D3A"/>
    <w:rsid w:val="00A21E3C"/>
    <w:rsid w:val="00A22460"/>
    <w:rsid w:val="00A22658"/>
    <w:rsid w:val="00A2330E"/>
    <w:rsid w:val="00A23607"/>
    <w:rsid w:val="00A23B82"/>
    <w:rsid w:val="00A23BDC"/>
    <w:rsid w:val="00A2407D"/>
    <w:rsid w:val="00A249B8"/>
    <w:rsid w:val="00A24B2D"/>
    <w:rsid w:val="00A25324"/>
    <w:rsid w:val="00A25671"/>
    <w:rsid w:val="00A25AB3"/>
    <w:rsid w:val="00A2606B"/>
    <w:rsid w:val="00A261C2"/>
    <w:rsid w:val="00A264E0"/>
    <w:rsid w:val="00A267C1"/>
    <w:rsid w:val="00A27459"/>
    <w:rsid w:val="00A276B5"/>
    <w:rsid w:val="00A27B32"/>
    <w:rsid w:val="00A30172"/>
    <w:rsid w:val="00A30651"/>
    <w:rsid w:val="00A3072B"/>
    <w:rsid w:val="00A30752"/>
    <w:rsid w:val="00A3129F"/>
    <w:rsid w:val="00A312DA"/>
    <w:rsid w:val="00A31F74"/>
    <w:rsid w:val="00A327E8"/>
    <w:rsid w:val="00A329AF"/>
    <w:rsid w:val="00A329E2"/>
    <w:rsid w:val="00A32A3F"/>
    <w:rsid w:val="00A32DB3"/>
    <w:rsid w:val="00A34F9F"/>
    <w:rsid w:val="00A350A0"/>
    <w:rsid w:val="00A356BD"/>
    <w:rsid w:val="00A357E0"/>
    <w:rsid w:val="00A375BD"/>
    <w:rsid w:val="00A401D0"/>
    <w:rsid w:val="00A40C5B"/>
    <w:rsid w:val="00A40D18"/>
    <w:rsid w:val="00A40FA1"/>
    <w:rsid w:val="00A4171F"/>
    <w:rsid w:val="00A41F98"/>
    <w:rsid w:val="00A42725"/>
    <w:rsid w:val="00A42C96"/>
    <w:rsid w:val="00A4395D"/>
    <w:rsid w:val="00A43D39"/>
    <w:rsid w:val="00A44641"/>
    <w:rsid w:val="00A45C3A"/>
    <w:rsid w:val="00A45E55"/>
    <w:rsid w:val="00A464B3"/>
    <w:rsid w:val="00A4744F"/>
    <w:rsid w:val="00A50217"/>
    <w:rsid w:val="00A5036C"/>
    <w:rsid w:val="00A51737"/>
    <w:rsid w:val="00A51C86"/>
    <w:rsid w:val="00A51EE5"/>
    <w:rsid w:val="00A52ADF"/>
    <w:rsid w:val="00A5346D"/>
    <w:rsid w:val="00A53B01"/>
    <w:rsid w:val="00A53D38"/>
    <w:rsid w:val="00A54078"/>
    <w:rsid w:val="00A542B7"/>
    <w:rsid w:val="00A54BE2"/>
    <w:rsid w:val="00A54F46"/>
    <w:rsid w:val="00A554C5"/>
    <w:rsid w:val="00A55661"/>
    <w:rsid w:val="00A55AD7"/>
    <w:rsid w:val="00A57689"/>
    <w:rsid w:val="00A57FFC"/>
    <w:rsid w:val="00A60328"/>
    <w:rsid w:val="00A61890"/>
    <w:rsid w:val="00A6209B"/>
    <w:rsid w:val="00A62289"/>
    <w:rsid w:val="00A6230F"/>
    <w:rsid w:val="00A6282E"/>
    <w:rsid w:val="00A62D49"/>
    <w:rsid w:val="00A6387A"/>
    <w:rsid w:val="00A63AF0"/>
    <w:rsid w:val="00A652B1"/>
    <w:rsid w:val="00A66A3B"/>
    <w:rsid w:val="00A66A43"/>
    <w:rsid w:val="00A67741"/>
    <w:rsid w:val="00A67E54"/>
    <w:rsid w:val="00A70DD3"/>
    <w:rsid w:val="00A7152B"/>
    <w:rsid w:val="00A71735"/>
    <w:rsid w:val="00A71EA6"/>
    <w:rsid w:val="00A745EA"/>
    <w:rsid w:val="00A74743"/>
    <w:rsid w:val="00A7578E"/>
    <w:rsid w:val="00A766AF"/>
    <w:rsid w:val="00A7730D"/>
    <w:rsid w:val="00A77399"/>
    <w:rsid w:val="00A774BE"/>
    <w:rsid w:val="00A77669"/>
    <w:rsid w:val="00A80322"/>
    <w:rsid w:val="00A8094C"/>
    <w:rsid w:val="00A81A0E"/>
    <w:rsid w:val="00A81F76"/>
    <w:rsid w:val="00A82113"/>
    <w:rsid w:val="00A821EA"/>
    <w:rsid w:val="00A82E82"/>
    <w:rsid w:val="00A82FB7"/>
    <w:rsid w:val="00A8385E"/>
    <w:rsid w:val="00A8394A"/>
    <w:rsid w:val="00A840AB"/>
    <w:rsid w:val="00A84AAC"/>
    <w:rsid w:val="00A84CA9"/>
    <w:rsid w:val="00A8500A"/>
    <w:rsid w:val="00A85157"/>
    <w:rsid w:val="00A85821"/>
    <w:rsid w:val="00A864A5"/>
    <w:rsid w:val="00A86981"/>
    <w:rsid w:val="00A86DF2"/>
    <w:rsid w:val="00A870A6"/>
    <w:rsid w:val="00A87716"/>
    <w:rsid w:val="00A87894"/>
    <w:rsid w:val="00A87BED"/>
    <w:rsid w:val="00A87CB6"/>
    <w:rsid w:val="00A904C0"/>
    <w:rsid w:val="00A90D17"/>
    <w:rsid w:val="00A93585"/>
    <w:rsid w:val="00A9499F"/>
    <w:rsid w:val="00A94C85"/>
    <w:rsid w:val="00A94DE6"/>
    <w:rsid w:val="00A95897"/>
    <w:rsid w:val="00A95D6D"/>
    <w:rsid w:val="00A96162"/>
    <w:rsid w:val="00A966F8"/>
    <w:rsid w:val="00A96761"/>
    <w:rsid w:val="00A96EC6"/>
    <w:rsid w:val="00A9756F"/>
    <w:rsid w:val="00A9799A"/>
    <w:rsid w:val="00A97FF9"/>
    <w:rsid w:val="00AA0A93"/>
    <w:rsid w:val="00AA2E5D"/>
    <w:rsid w:val="00AA4AB5"/>
    <w:rsid w:val="00AA5441"/>
    <w:rsid w:val="00AA5B54"/>
    <w:rsid w:val="00AA6C15"/>
    <w:rsid w:val="00AA6D95"/>
    <w:rsid w:val="00AA749A"/>
    <w:rsid w:val="00AA7A49"/>
    <w:rsid w:val="00AB025F"/>
    <w:rsid w:val="00AB0786"/>
    <w:rsid w:val="00AB0D5C"/>
    <w:rsid w:val="00AB1880"/>
    <w:rsid w:val="00AB1950"/>
    <w:rsid w:val="00AB1A0D"/>
    <w:rsid w:val="00AB244F"/>
    <w:rsid w:val="00AB3663"/>
    <w:rsid w:val="00AB39D9"/>
    <w:rsid w:val="00AB3B63"/>
    <w:rsid w:val="00AB3DB3"/>
    <w:rsid w:val="00AB3DF3"/>
    <w:rsid w:val="00AB405B"/>
    <w:rsid w:val="00AB4620"/>
    <w:rsid w:val="00AB46BA"/>
    <w:rsid w:val="00AB479E"/>
    <w:rsid w:val="00AB4B5A"/>
    <w:rsid w:val="00AB4D82"/>
    <w:rsid w:val="00AB51AC"/>
    <w:rsid w:val="00AB5A98"/>
    <w:rsid w:val="00AB5C37"/>
    <w:rsid w:val="00AB74CF"/>
    <w:rsid w:val="00AC0160"/>
    <w:rsid w:val="00AC043C"/>
    <w:rsid w:val="00AC08A4"/>
    <w:rsid w:val="00AC193A"/>
    <w:rsid w:val="00AC2495"/>
    <w:rsid w:val="00AC2FE9"/>
    <w:rsid w:val="00AC31B1"/>
    <w:rsid w:val="00AC31E6"/>
    <w:rsid w:val="00AC31E8"/>
    <w:rsid w:val="00AC4B42"/>
    <w:rsid w:val="00AC4B77"/>
    <w:rsid w:val="00AC4BE2"/>
    <w:rsid w:val="00AC4DAB"/>
    <w:rsid w:val="00AC52C9"/>
    <w:rsid w:val="00AC5967"/>
    <w:rsid w:val="00AC63F9"/>
    <w:rsid w:val="00AC64C4"/>
    <w:rsid w:val="00AC6532"/>
    <w:rsid w:val="00AC6A46"/>
    <w:rsid w:val="00AC6F04"/>
    <w:rsid w:val="00AC6FD5"/>
    <w:rsid w:val="00AC7A81"/>
    <w:rsid w:val="00AD0156"/>
    <w:rsid w:val="00AD0AEE"/>
    <w:rsid w:val="00AD0F5D"/>
    <w:rsid w:val="00AD16C0"/>
    <w:rsid w:val="00AD2EFD"/>
    <w:rsid w:val="00AD339F"/>
    <w:rsid w:val="00AD3439"/>
    <w:rsid w:val="00AD3564"/>
    <w:rsid w:val="00AD35C2"/>
    <w:rsid w:val="00AD4100"/>
    <w:rsid w:val="00AD4B25"/>
    <w:rsid w:val="00AD4E39"/>
    <w:rsid w:val="00AD5EDA"/>
    <w:rsid w:val="00AD68C5"/>
    <w:rsid w:val="00AD6D2C"/>
    <w:rsid w:val="00AD79B0"/>
    <w:rsid w:val="00AD79E9"/>
    <w:rsid w:val="00AD7A6F"/>
    <w:rsid w:val="00AD7D99"/>
    <w:rsid w:val="00AE04EB"/>
    <w:rsid w:val="00AE0656"/>
    <w:rsid w:val="00AE069B"/>
    <w:rsid w:val="00AE1123"/>
    <w:rsid w:val="00AE1736"/>
    <w:rsid w:val="00AE2836"/>
    <w:rsid w:val="00AE2B01"/>
    <w:rsid w:val="00AE2E85"/>
    <w:rsid w:val="00AE3A51"/>
    <w:rsid w:val="00AE4393"/>
    <w:rsid w:val="00AE4681"/>
    <w:rsid w:val="00AE56C5"/>
    <w:rsid w:val="00AE5790"/>
    <w:rsid w:val="00AE6106"/>
    <w:rsid w:val="00AE6214"/>
    <w:rsid w:val="00AE687C"/>
    <w:rsid w:val="00AE68D7"/>
    <w:rsid w:val="00AE68F3"/>
    <w:rsid w:val="00AE708A"/>
    <w:rsid w:val="00AE717D"/>
    <w:rsid w:val="00AE79E1"/>
    <w:rsid w:val="00AE7A3C"/>
    <w:rsid w:val="00AF020C"/>
    <w:rsid w:val="00AF03D0"/>
    <w:rsid w:val="00AF0D5B"/>
    <w:rsid w:val="00AF10D3"/>
    <w:rsid w:val="00AF1290"/>
    <w:rsid w:val="00AF13AB"/>
    <w:rsid w:val="00AF1AE1"/>
    <w:rsid w:val="00AF1DB2"/>
    <w:rsid w:val="00AF2890"/>
    <w:rsid w:val="00AF2976"/>
    <w:rsid w:val="00AF315D"/>
    <w:rsid w:val="00AF3FEF"/>
    <w:rsid w:val="00AF49C5"/>
    <w:rsid w:val="00AF50BA"/>
    <w:rsid w:val="00AF57A9"/>
    <w:rsid w:val="00AF57DC"/>
    <w:rsid w:val="00AF5B03"/>
    <w:rsid w:val="00AF5BE5"/>
    <w:rsid w:val="00AF61FE"/>
    <w:rsid w:val="00AF6523"/>
    <w:rsid w:val="00AF6AAB"/>
    <w:rsid w:val="00AF6BBC"/>
    <w:rsid w:val="00AF6F1E"/>
    <w:rsid w:val="00AF6FDC"/>
    <w:rsid w:val="00AF7282"/>
    <w:rsid w:val="00AF7FE8"/>
    <w:rsid w:val="00B000E7"/>
    <w:rsid w:val="00B0033D"/>
    <w:rsid w:val="00B00B7E"/>
    <w:rsid w:val="00B01001"/>
    <w:rsid w:val="00B015E6"/>
    <w:rsid w:val="00B01B5E"/>
    <w:rsid w:val="00B02843"/>
    <w:rsid w:val="00B02DFD"/>
    <w:rsid w:val="00B0361C"/>
    <w:rsid w:val="00B03D3E"/>
    <w:rsid w:val="00B03D4E"/>
    <w:rsid w:val="00B0408B"/>
    <w:rsid w:val="00B04CA6"/>
    <w:rsid w:val="00B053A6"/>
    <w:rsid w:val="00B055FA"/>
    <w:rsid w:val="00B0653D"/>
    <w:rsid w:val="00B067D5"/>
    <w:rsid w:val="00B06C39"/>
    <w:rsid w:val="00B1021D"/>
    <w:rsid w:val="00B10608"/>
    <w:rsid w:val="00B10F75"/>
    <w:rsid w:val="00B110D7"/>
    <w:rsid w:val="00B1186D"/>
    <w:rsid w:val="00B12413"/>
    <w:rsid w:val="00B1335A"/>
    <w:rsid w:val="00B13D84"/>
    <w:rsid w:val="00B141F2"/>
    <w:rsid w:val="00B166BC"/>
    <w:rsid w:val="00B16C08"/>
    <w:rsid w:val="00B16F51"/>
    <w:rsid w:val="00B17410"/>
    <w:rsid w:val="00B21B36"/>
    <w:rsid w:val="00B21D45"/>
    <w:rsid w:val="00B22830"/>
    <w:rsid w:val="00B23CF7"/>
    <w:rsid w:val="00B24EEB"/>
    <w:rsid w:val="00B260A2"/>
    <w:rsid w:val="00B2627A"/>
    <w:rsid w:val="00B265F7"/>
    <w:rsid w:val="00B26B9D"/>
    <w:rsid w:val="00B27374"/>
    <w:rsid w:val="00B2744C"/>
    <w:rsid w:val="00B27567"/>
    <w:rsid w:val="00B27740"/>
    <w:rsid w:val="00B27CDB"/>
    <w:rsid w:val="00B27F62"/>
    <w:rsid w:val="00B302F2"/>
    <w:rsid w:val="00B307DD"/>
    <w:rsid w:val="00B30EDE"/>
    <w:rsid w:val="00B3100E"/>
    <w:rsid w:val="00B32C0C"/>
    <w:rsid w:val="00B330FA"/>
    <w:rsid w:val="00B33107"/>
    <w:rsid w:val="00B33A2E"/>
    <w:rsid w:val="00B33D97"/>
    <w:rsid w:val="00B34217"/>
    <w:rsid w:val="00B34FDD"/>
    <w:rsid w:val="00B359F1"/>
    <w:rsid w:val="00B35AF5"/>
    <w:rsid w:val="00B35C07"/>
    <w:rsid w:val="00B35C75"/>
    <w:rsid w:val="00B35CF8"/>
    <w:rsid w:val="00B37714"/>
    <w:rsid w:val="00B379CC"/>
    <w:rsid w:val="00B4023F"/>
    <w:rsid w:val="00B40266"/>
    <w:rsid w:val="00B416CE"/>
    <w:rsid w:val="00B42381"/>
    <w:rsid w:val="00B42C71"/>
    <w:rsid w:val="00B4312E"/>
    <w:rsid w:val="00B43A3A"/>
    <w:rsid w:val="00B44F78"/>
    <w:rsid w:val="00B450AA"/>
    <w:rsid w:val="00B45476"/>
    <w:rsid w:val="00B45E1B"/>
    <w:rsid w:val="00B45E64"/>
    <w:rsid w:val="00B467BA"/>
    <w:rsid w:val="00B46B77"/>
    <w:rsid w:val="00B474B2"/>
    <w:rsid w:val="00B478E7"/>
    <w:rsid w:val="00B47E74"/>
    <w:rsid w:val="00B50037"/>
    <w:rsid w:val="00B502C3"/>
    <w:rsid w:val="00B505C8"/>
    <w:rsid w:val="00B50CBF"/>
    <w:rsid w:val="00B50DF5"/>
    <w:rsid w:val="00B50F2C"/>
    <w:rsid w:val="00B51728"/>
    <w:rsid w:val="00B51D2A"/>
    <w:rsid w:val="00B52021"/>
    <w:rsid w:val="00B52100"/>
    <w:rsid w:val="00B52195"/>
    <w:rsid w:val="00B52D82"/>
    <w:rsid w:val="00B52DCA"/>
    <w:rsid w:val="00B52FFF"/>
    <w:rsid w:val="00B5381A"/>
    <w:rsid w:val="00B53849"/>
    <w:rsid w:val="00B5404D"/>
    <w:rsid w:val="00B545FC"/>
    <w:rsid w:val="00B54742"/>
    <w:rsid w:val="00B54C0E"/>
    <w:rsid w:val="00B54DA2"/>
    <w:rsid w:val="00B554C1"/>
    <w:rsid w:val="00B55659"/>
    <w:rsid w:val="00B55873"/>
    <w:rsid w:val="00B55B12"/>
    <w:rsid w:val="00B55BB5"/>
    <w:rsid w:val="00B56F0B"/>
    <w:rsid w:val="00B57410"/>
    <w:rsid w:val="00B57D4D"/>
    <w:rsid w:val="00B606F7"/>
    <w:rsid w:val="00B60B98"/>
    <w:rsid w:val="00B60F07"/>
    <w:rsid w:val="00B60F3D"/>
    <w:rsid w:val="00B619E0"/>
    <w:rsid w:val="00B61C5E"/>
    <w:rsid w:val="00B6253C"/>
    <w:rsid w:val="00B627FE"/>
    <w:rsid w:val="00B62BC5"/>
    <w:rsid w:val="00B63742"/>
    <w:rsid w:val="00B63919"/>
    <w:rsid w:val="00B6467D"/>
    <w:rsid w:val="00B64EF1"/>
    <w:rsid w:val="00B64FAF"/>
    <w:rsid w:val="00B6613F"/>
    <w:rsid w:val="00B66885"/>
    <w:rsid w:val="00B6721D"/>
    <w:rsid w:val="00B67B13"/>
    <w:rsid w:val="00B67F7F"/>
    <w:rsid w:val="00B70CFD"/>
    <w:rsid w:val="00B70E23"/>
    <w:rsid w:val="00B71C63"/>
    <w:rsid w:val="00B71D9B"/>
    <w:rsid w:val="00B71FA6"/>
    <w:rsid w:val="00B72079"/>
    <w:rsid w:val="00B7251E"/>
    <w:rsid w:val="00B72B6E"/>
    <w:rsid w:val="00B73240"/>
    <w:rsid w:val="00B73E87"/>
    <w:rsid w:val="00B746FD"/>
    <w:rsid w:val="00B74A44"/>
    <w:rsid w:val="00B74BFC"/>
    <w:rsid w:val="00B74EA7"/>
    <w:rsid w:val="00B75A18"/>
    <w:rsid w:val="00B76670"/>
    <w:rsid w:val="00B76A82"/>
    <w:rsid w:val="00B77A3C"/>
    <w:rsid w:val="00B77E20"/>
    <w:rsid w:val="00B800E8"/>
    <w:rsid w:val="00B802B0"/>
    <w:rsid w:val="00B80D95"/>
    <w:rsid w:val="00B814CF"/>
    <w:rsid w:val="00B81CC7"/>
    <w:rsid w:val="00B81E12"/>
    <w:rsid w:val="00B820EB"/>
    <w:rsid w:val="00B839B4"/>
    <w:rsid w:val="00B83A29"/>
    <w:rsid w:val="00B83A7E"/>
    <w:rsid w:val="00B841BE"/>
    <w:rsid w:val="00B84716"/>
    <w:rsid w:val="00B8492F"/>
    <w:rsid w:val="00B84EB4"/>
    <w:rsid w:val="00B85A22"/>
    <w:rsid w:val="00B87A63"/>
    <w:rsid w:val="00B901AC"/>
    <w:rsid w:val="00B9099F"/>
    <w:rsid w:val="00B90F41"/>
    <w:rsid w:val="00B914AD"/>
    <w:rsid w:val="00B9225A"/>
    <w:rsid w:val="00B9227C"/>
    <w:rsid w:val="00B9260D"/>
    <w:rsid w:val="00B92A48"/>
    <w:rsid w:val="00B93852"/>
    <w:rsid w:val="00B93FF5"/>
    <w:rsid w:val="00B94129"/>
    <w:rsid w:val="00B95398"/>
    <w:rsid w:val="00B957D8"/>
    <w:rsid w:val="00B96C37"/>
    <w:rsid w:val="00BA05B9"/>
    <w:rsid w:val="00BA1365"/>
    <w:rsid w:val="00BA145F"/>
    <w:rsid w:val="00BA1CDF"/>
    <w:rsid w:val="00BA292B"/>
    <w:rsid w:val="00BA2F3A"/>
    <w:rsid w:val="00BA36C5"/>
    <w:rsid w:val="00BA4234"/>
    <w:rsid w:val="00BA4D96"/>
    <w:rsid w:val="00BA58E0"/>
    <w:rsid w:val="00BA66A9"/>
    <w:rsid w:val="00BA763B"/>
    <w:rsid w:val="00BA7A79"/>
    <w:rsid w:val="00BA7C25"/>
    <w:rsid w:val="00BB0658"/>
    <w:rsid w:val="00BB08FF"/>
    <w:rsid w:val="00BB0BE6"/>
    <w:rsid w:val="00BB13FA"/>
    <w:rsid w:val="00BB180A"/>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AA1"/>
    <w:rsid w:val="00BB6216"/>
    <w:rsid w:val="00BB626B"/>
    <w:rsid w:val="00BB6520"/>
    <w:rsid w:val="00BB7867"/>
    <w:rsid w:val="00BB7D0A"/>
    <w:rsid w:val="00BB7E2C"/>
    <w:rsid w:val="00BC0738"/>
    <w:rsid w:val="00BC10A2"/>
    <w:rsid w:val="00BC23BC"/>
    <w:rsid w:val="00BC25CA"/>
    <w:rsid w:val="00BC2E30"/>
    <w:rsid w:val="00BC33B3"/>
    <w:rsid w:val="00BC362B"/>
    <w:rsid w:val="00BC3757"/>
    <w:rsid w:val="00BC4037"/>
    <w:rsid w:val="00BC5012"/>
    <w:rsid w:val="00BC5062"/>
    <w:rsid w:val="00BC58B3"/>
    <w:rsid w:val="00BC5BA0"/>
    <w:rsid w:val="00BC5EC0"/>
    <w:rsid w:val="00BC714D"/>
    <w:rsid w:val="00BC71F5"/>
    <w:rsid w:val="00BC760F"/>
    <w:rsid w:val="00BD02C3"/>
    <w:rsid w:val="00BD0743"/>
    <w:rsid w:val="00BD1D6B"/>
    <w:rsid w:val="00BD290B"/>
    <w:rsid w:val="00BD2CE4"/>
    <w:rsid w:val="00BD39A8"/>
    <w:rsid w:val="00BD428C"/>
    <w:rsid w:val="00BD617A"/>
    <w:rsid w:val="00BD64F2"/>
    <w:rsid w:val="00BD6C9B"/>
    <w:rsid w:val="00BD7A77"/>
    <w:rsid w:val="00BE040D"/>
    <w:rsid w:val="00BE05E9"/>
    <w:rsid w:val="00BE0BEB"/>
    <w:rsid w:val="00BE0C77"/>
    <w:rsid w:val="00BE11C2"/>
    <w:rsid w:val="00BE16B3"/>
    <w:rsid w:val="00BE16CE"/>
    <w:rsid w:val="00BE1A63"/>
    <w:rsid w:val="00BE21F6"/>
    <w:rsid w:val="00BE45AE"/>
    <w:rsid w:val="00BE4FE1"/>
    <w:rsid w:val="00BE5965"/>
    <w:rsid w:val="00BE5E8F"/>
    <w:rsid w:val="00BE636F"/>
    <w:rsid w:val="00BE63B6"/>
    <w:rsid w:val="00BE6494"/>
    <w:rsid w:val="00BE68AD"/>
    <w:rsid w:val="00BE71A9"/>
    <w:rsid w:val="00BE7CE3"/>
    <w:rsid w:val="00BE7FC2"/>
    <w:rsid w:val="00BF0276"/>
    <w:rsid w:val="00BF10F1"/>
    <w:rsid w:val="00BF1C64"/>
    <w:rsid w:val="00BF1F19"/>
    <w:rsid w:val="00BF25A1"/>
    <w:rsid w:val="00BF3183"/>
    <w:rsid w:val="00BF4169"/>
    <w:rsid w:val="00BF4C06"/>
    <w:rsid w:val="00BF5356"/>
    <w:rsid w:val="00BF5A65"/>
    <w:rsid w:val="00BF5B52"/>
    <w:rsid w:val="00BF7600"/>
    <w:rsid w:val="00BF7DCD"/>
    <w:rsid w:val="00C011FD"/>
    <w:rsid w:val="00C01490"/>
    <w:rsid w:val="00C014D5"/>
    <w:rsid w:val="00C016E8"/>
    <w:rsid w:val="00C0173A"/>
    <w:rsid w:val="00C01AAC"/>
    <w:rsid w:val="00C01B09"/>
    <w:rsid w:val="00C02BDC"/>
    <w:rsid w:val="00C03767"/>
    <w:rsid w:val="00C039A0"/>
    <w:rsid w:val="00C03AA2"/>
    <w:rsid w:val="00C03BF6"/>
    <w:rsid w:val="00C03C75"/>
    <w:rsid w:val="00C03CDB"/>
    <w:rsid w:val="00C03D22"/>
    <w:rsid w:val="00C04926"/>
    <w:rsid w:val="00C0534E"/>
    <w:rsid w:val="00C0568F"/>
    <w:rsid w:val="00C05C75"/>
    <w:rsid w:val="00C06AB7"/>
    <w:rsid w:val="00C10DAF"/>
    <w:rsid w:val="00C10F37"/>
    <w:rsid w:val="00C120BE"/>
    <w:rsid w:val="00C12380"/>
    <w:rsid w:val="00C129AE"/>
    <w:rsid w:val="00C134C3"/>
    <w:rsid w:val="00C13BBD"/>
    <w:rsid w:val="00C13ED7"/>
    <w:rsid w:val="00C14287"/>
    <w:rsid w:val="00C14CA8"/>
    <w:rsid w:val="00C16F30"/>
    <w:rsid w:val="00C17085"/>
    <w:rsid w:val="00C171C0"/>
    <w:rsid w:val="00C17EBA"/>
    <w:rsid w:val="00C204C4"/>
    <w:rsid w:val="00C20A11"/>
    <w:rsid w:val="00C20A8C"/>
    <w:rsid w:val="00C212ED"/>
    <w:rsid w:val="00C216AD"/>
    <w:rsid w:val="00C217AF"/>
    <w:rsid w:val="00C2191A"/>
    <w:rsid w:val="00C225D9"/>
    <w:rsid w:val="00C231D1"/>
    <w:rsid w:val="00C23E90"/>
    <w:rsid w:val="00C23E9D"/>
    <w:rsid w:val="00C2452E"/>
    <w:rsid w:val="00C2460F"/>
    <w:rsid w:val="00C24BA6"/>
    <w:rsid w:val="00C24E8F"/>
    <w:rsid w:val="00C25166"/>
    <w:rsid w:val="00C2546C"/>
    <w:rsid w:val="00C25B2B"/>
    <w:rsid w:val="00C25C12"/>
    <w:rsid w:val="00C26E95"/>
    <w:rsid w:val="00C27215"/>
    <w:rsid w:val="00C272EA"/>
    <w:rsid w:val="00C2794F"/>
    <w:rsid w:val="00C3024C"/>
    <w:rsid w:val="00C30A9D"/>
    <w:rsid w:val="00C30EC8"/>
    <w:rsid w:val="00C31503"/>
    <w:rsid w:val="00C31828"/>
    <w:rsid w:val="00C318CE"/>
    <w:rsid w:val="00C31EDF"/>
    <w:rsid w:val="00C32338"/>
    <w:rsid w:val="00C327E2"/>
    <w:rsid w:val="00C32B9A"/>
    <w:rsid w:val="00C32CB4"/>
    <w:rsid w:val="00C33BF5"/>
    <w:rsid w:val="00C341E1"/>
    <w:rsid w:val="00C3427A"/>
    <w:rsid w:val="00C346F9"/>
    <w:rsid w:val="00C356D6"/>
    <w:rsid w:val="00C359A1"/>
    <w:rsid w:val="00C36253"/>
    <w:rsid w:val="00C36ECB"/>
    <w:rsid w:val="00C36FBB"/>
    <w:rsid w:val="00C37A11"/>
    <w:rsid w:val="00C400C4"/>
    <w:rsid w:val="00C41031"/>
    <w:rsid w:val="00C41082"/>
    <w:rsid w:val="00C4124A"/>
    <w:rsid w:val="00C413BD"/>
    <w:rsid w:val="00C4178E"/>
    <w:rsid w:val="00C41814"/>
    <w:rsid w:val="00C419E4"/>
    <w:rsid w:val="00C41F0D"/>
    <w:rsid w:val="00C41FEA"/>
    <w:rsid w:val="00C421B0"/>
    <w:rsid w:val="00C429B4"/>
    <w:rsid w:val="00C42A28"/>
    <w:rsid w:val="00C432F1"/>
    <w:rsid w:val="00C44168"/>
    <w:rsid w:val="00C449B1"/>
    <w:rsid w:val="00C4596E"/>
    <w:rsid w:val="00C47A31"/>
    <w:rsid w:val="00C47A8F"/>
    <w:rsid w:val="00C50734"/>
    <w:rsid w:val="00C512BD"/>
    <w:rsid w:val="00C5269C"/>
    <w:rsid w:val="00C52E15"/>
    <w:rsid w:val="00C53173"/>
    <w:rsid w:val="00C53AD7"/>
    <w:rsid w:val="00C53DD9"/>
    <w:rsid w:val="00C54374"/>
    <w:rsid w:val="00C547B1"/>
    <w:rsid w:val="00C54FE0"/>
    <w:rsid w:val="00C55456"/>
    <w:rsid w:val="00C569D3"/>
    <w:rsid w:val="00C578EF"/>
    <w:rsid w:val="00C57C22"/>
    <w:rsid w:val="00C60982"/>
    <w:rsid w:val="00C60CB1"/>
    <w:rsid w:val="00C60E80"/>
    <w:rsid w:val="00C63A4A"/>
    <w:rsid w:val="00C64BB2"/>
    <w:rsid w:val="00C64D31"/>
    <w:rsid w:val="00C6577F"/>
    <w:rsid w:val="00C6611C"/>
    <w:rsid w:val="00C66541"/>
    <w:rsid w:val="00C668E1"/>
    <w:rsid w:val="00C67427"/>
    <w:rsid w:val="00C67504"/>
    <w:rsid w:val="00C67B52"/>
    <w:rsid w:val="00C7007A"/>
    <w:rsid w:val="00C7075E"/>
    <w:rsid w:val="00C7081A"/>
    <w:rsid w:val="00C70913"/>
    <w:rsid w:val="00C713E5"/>
    <w:rsid w:val="00C7154E"/>
    <w:rsid w:val="00C72192"/>
    <w:rsid w:val="00C726C7"/>
    <w:rsid w:val="00C72E2D"/>
    <w:rsid w:val="00C73371"/>
    <w:rsid w:val="00C73504"/>
    <w:rsid w:val="00C740C3"/>
    <w:rsid w:val="00C74429"/>
    <w:rsid w:val="00C74797"/>
    <w:rsid w:val="00C75456"/>
    <w:rsid w:val="00C75905"/>
    <w:rsid w:val="00C75D7A"/>
    <w:rsid w:val="00C75F21"/>
    <w:rsid w:val="00C76263"/>
    <w:rsid w:val="00C768E7"/>
    <w:rsid w:val="00C76925"/>
    <w:rsid w:val="00C76F51"/>
    <w:rsid w:val="00C77181"/>
    <w:rsid w:val="00C7744F"/>
    <w:rsid w:val="00C77EAC"/>
    <w:rsid w:val="00C803B6"/>
    <w:rsid w:val="00C80B1C"/>
    <w:rsid w:val="00C8122F"/>
    <w:rsid w:val="00C83B59"/>
    <w:rsid w:val="00C83BDC"/>
    <w:rsid w:val="00C84269"/>
    <w:rsid w:val="00C8572C"/>
    <w:rsid w:val="00C85770"/>
    <w:rsid w:val="00C86D9B"/>
    <w:rsid w:val="00C90709"/>
    <w:rsid w:val="00C9074F"/>
    <w:rsid w:val="00C9182F"/>
    <w:rsid w:val="00C9198F"/>
    <w:rsid w:val="00C9238E"/>
    <w:rsid w:val="00C931B6"/>
    <w:rsid w:val="00C932F9"/>
    <w:rsid w:val="00C938CF"/>
    <w:rsid w:val="00C94014"/>
    <w:rsid w:val="00C94393"/>
    <w:rsid w:val="00C945C9"/>
    <w:rsid w:val="00C9466B"/>
    <w:rsid w:val="00C94F89"/>
    <w:rsid w:val="00C95002"/>
    <w:rsid w:val="00C95167"/>
    <w:rsid w:val="00C951AA"/>
    <w:rsid w:val="00C95470"/>
    <w:rsid w:val="00C959DC"/>
    <w:rsid w:val="00C96772"/>
    <w:rsid w:val="00C96A77"/>
    <w:rsid w:val="00C96BA0"/>
    <w:rsid w:val="00C974C0"/>
    <w:rsid w:val="00C9774F"/>
    <w:rsid w:val="00C97C1C"/>
    <w:rsid w:val="00C97D64"/>
    <w:rsid w:val="00C97E91"/>
    <w:rsid w:val="00CA04F4"/>
    <w:rsid w:val="00CA05E1"/>
    <w:rsid w:val="00CA06C9"/>
    <w:rsid w:val="00CA0BF0"/>
    <w:rsid w:val="00CA11BB"/>
    <w:rsid w:val="00CA25A0"/>
    <w:rsid w:val="00CA3EEB"/>
    <w:rsid w:val="00CA4332"/>
    <w:rsid w:val="00CA4448"/>
    <w:rsid w:val="00CA44AB"/>
    <w:rsid w:val="00CA4BB2"/>
    <w:rsid w:val="00CA5448"/>
    <w:rsid w:val="00CA58C5"/>
    <w:rsid w:val="00CA5A0A"/>
    <w:rsid w:val="00CA6022"/>
    <w:rsid w:val="00CA604F"/>
    <w:rsid w:val="00CA651F"/>
    <w:rsid w:val="00CA6E37"/>
    <w:rsid w:val="00CA701A"/>
    <w:rsid w:val="00CA7E73"/>
    <w:rsid w:val="00CB0EA7"/>
    <w:rsid w:val="00CB0F0F"/>
    <w:rsid w:val="00CB11A7"/>
    <w:rsid w:val="00CB1484"/>
    <w:rsid w:val="00CB2407"/>
    <w:rsid w:val="00CB25C3"/>
    <w:rsid w:val="00CB2EA1"/>
    <w:rsid w:val="00CB3043"/>
    <w:rsid w:val="00CB3F4B"/>
    <w:rsid w:val="00CB43FC"/>
    <w:rsid w:val="00CB498D"/>
    <w:rsid w:val="00CB4E8F"/>
    <w:rsid w:val="00CB5057"/>
    <w:rsid w:val="00CB53F6"/>
    <w:rsid w:val="00CB5E50"/>
    <w:rsid w:val="00CB63B9"/>
    <w:rsid w:val="00CB67EE"/>
    <w:rsid w:val="00CB7994"/>
    <w:rsid w:val="00CB7CA6"/>
    <w:rsid w:val="00CB7F91"/>
    <w:rsid w:val="00CC0C2D"/>
    <w:rsid w:val="00CC12C2"/>
    <w:rsid w:val="00CC14E5"/>
    <w:rsid w:val="00CC2381"/>
    <w:rsid w:val="00CC2490"/>
    <w:rsid w:val="00CC29EF"/>
    <w:rsid w:val="00CC2DE8"/>
    <w:rsid w:val="00CC305B"/>
    <w:rsid w:val="00CC3BDC"/>
    <w:rsid w:val="00CC43BB"/>
    <w:rsid w:val="00CC5054"/>
    <w:rsid w:val="00CC50A2"/>
    <w:rsid w:val="00CC5313"/>
    <w:rsid w:val="00CC598E"/>
    <w:rsid w:val="00CC5C74"/>
    <w:rsid w:val="00CC6455"/>
    <w:rsid w:val="00CC6CAD"/>
    <w:rsid w:val="00CC6E12"/>
    <w:rsid w:val="00CC725E"/>
    <w:rsid w:val="00CC7CAB"/>
    <w:rsid w:val="00CD041A"/>
    <w:rsid w:val="00CD0966"/>
    <w:rsid w:val="00CD11EE"/>
    <w:rsid w:val="00CD122C"/>
    <w:rsid w:val="00CD16CB"/>
    <w:rsid w:val="00CD170E"/>
    <w:rsid w:val="00CD1D5E"/>
    <w:rsid w:val="00CD1FE4"/>
    <w:rsid w:val="00CD2350"/>
    <w:rsid w:val="00CD296E"/>
    <w:rsid w:val="00CD2A2E"/>
    <w:rsid w:val="00CD2B2E"/>
    <w:rsid w:val="00CD2E82"/>
    <w:rsid w:val="00CD31EC"/>
    <w:rsid w:val="00CD3375"/>
    <w:rsid w:val="00CD36B5"/>
    <w:rsid w:val="00CD3CEB"/>
    <w:rsid w:val="00CD3D4D"/>
    <w:rsid w:val="00CD3E9E"/>
    <w:rsid w:val="00CD4DDF"/>
    <w:rsid w:val="00CD50FB"/>
    <w:rsid w:val="00CD68A8"/>
    <w:rsid w:val="00CD6C5B"/>
    <w:rsid w:val="00CD7A7B"/>
    <w:rsid w:val="00CD7D23"/>
    <w:rsid w:val="00CD7F02"/>
    <w:rsid w:val="00CE00E3"/>
    <w:rsid w:val="00CE02B1"/>
    <w:rsid w:val="00CE0C88"/>
    <w:rsid w:val="00CE0E46"/>
    <w:rsid w:val="00CE13F1"/>
    <w:rsid w:val="00CE19A2"/>
    <w:rsid w:val="00CE1D54"/>
    <w:rsid w:val="00CE2925"/>
    <w:rsid w:val="00CE3008"/>
    <w:rsid w:val="00CE4587"/>
    <w:rsid w:val="00CE4671"/>
    <w:rsid w:val="00CE4AFB"/>
    <w:rsid w:val="00CE5921"/>
    <w:rsid w:val="00CE5A0E"/>
    <w:rsid w:val="00CE6A7F"/>
    <w:rsid w:val="00CE6B76"/>
    <w:rsid w:val="00CF004D"/>
    <w:rsid w:val="00CF078E"/>
    <w:rsid w:val="00CF0F9C"/>
    <w:rsid w:val="00CF1181"/>
    <w:rsid w:val="00CF21C7"/>
    <w:rsid w:val="00CF29A5"/>
    <w:rsid w:val="00CF2A3C"/>
    <w:rsid w:val="00CF315C"/>
    <w:rsid w:val="00CF378F"/>
    <w:rsid w:val="00CF3F44"/>
    <w:rsid w:val="00CF4099"/>
    <w:rsid w:val="00CF437E"/>
    <w:rsid w:val="00CF4CA5"/>
    <w:rsid w:val="00CF5141"/>
    <w:rsid w:val="00CF5365"/>
    <w:rsid w:val="00CF57B9"/>
    <w:rsid w:val="00CF5832"/>
    <w:rsid w:val="00CF7055"/>
    <w:rsid w:val="00CF799B"/>
    <w:rsid w:val="00D007A5"/>
    <w:rsid w:val="00D00F5C"/>
    <w:rsid w:val="00D010A3"/>
    <w:rsid w:val="00D011D0"/>
    <w:rsid w:val="00D01282"/>
    <w:rsid w:val="00D01E78"/>
    <w:rsid w:val="00D027EF"/>
    <w:rsid w:val="00D02803"/>
    <w:rsid w:val="00D030DA"/>
    <w:rsid w:val="00D0328B"/>
    <w:rsid w:val="00D03521"/>
    <w:rsid w:val="00D04083"/>
    <w:rsid w:val="00D04211"/>
    <w:rsid w:val="00D0423D"/>
    <w:rsid w:val="00D048EC"/>
    <w:rsid w:val="00D04A41"/>
    <w:rsid w:val="00D04B71"/>
    <w:rsid w:val="00D04DC5"/>
    <w:rsid w:val="00D058B8"/>
    <w:rsid w:val="00D0639A"/>
    <w:rsid w:val="00D068B3"/>
    <w:rsid w:val="00D07649"/>
    <w:rsid w:val="00D077CA"/>
    <w:rsid w:val="00D1004F"/>
    <w:rsid w:val="00D101A2"/>
    <w:rsid w:val="00D10317"/>
    <w:rsid w:val="00D10B16"/>
    <w:rsid w:val="00D10BFB"/>
    <w:rsid w:val="00D10C19"/>
    <w:rsid w:val="00D11312"/>
    <w:rsid w:val="00D11819"/>
    <w:rsid w:val="00D12218"/>
    <w:rsid w:val="00D124A9"/>
    <w:rsid w:val="00D12833"/>
    <w:rsid w:val="00D131D8"/>
    <w:rsid w:val="00D14465"/>
    <w:rsid w:val="00D14F8A"/>
    <w:rsid w:val="00D150ED"/>
    <w:rsid w:val="00D15CF6"/>
    <w:rsid w:val="00D16126"/>
    <w:rsid w:val="00D17270"/>
    <w:rsid w:val="00D17813"/>
    <w:rsid w:val="00D202AC"/>
    <w:rsid w:val="00D20A6F"/>
    <w:rsid w:val="00D20E2E"/>
    <w:rsid w:val="00D20EEF"/>
    <w:rsid w:val="00D210C3"/>
    <w:rsid w:val="00D21572"/>
    <w:rsid w:val="00D21821"/>
    <w:rsid w:val="00D218C2"/>
    <w:rsid w:val="00D21E90"/>
    <w:rsid w:val="00D225F9"/>
    <w:rsid w:val="00D22C37"/>
    <w:rsid w:val="00D23011"/>
    <w:rsid w:val="00D23AA9"/>
    <w:rsid w:val="00D24DBF"/>
    <w:rsid w:val="00D251CC"/>
    <w:rsid w:val="00D2573E"/>
    <w:rsid w:val="00D26017"/>
    <w:rsid w:val="00D26560"/>
    <w:rsid w:val="00D2737B"/>
    <w:rsid w:val="00D277ED"/>
    <w:rsid w:val="00D278CD"/>
    <w:rsid w:val="00D27C3A"/>
    <w:rsid w:val="00D301BE"/>
    <w:rsid w:val="00D30400"/>
    <w:rsid w:val="00D31D1D"/>
    <w:rsid w:val="00D33219"/>
    <w:rsid w:val="00D33478"/>
    <w:rsid w:val="00D335B6"/>
    <w:rsid w:val="00D336F0"/>
    <w:rsid w:val="00D344B0"/>
    <w:rsid w:val="00D3462E"/>
    <w:rsid w:val="00D34C69"/>
    <w:rsid w:val="00D35EEE"/>
    <w:rsid w:val="00D35F22"/>
    <w:rsid w:val="00D361A2"/>
    <w:rsid w:val="00D36A83"/>
    <w:rsid w:val="00D36C46"/>
    <w:rsid w:val="00D3705D"/>
    <w:rsid w:val="00D37303"/>
    <w:rsid w:val="00D379F0"/>
    <w:rsid w:val="00D37F9D"/>
    <w:rsid w:val="00D41AAF"/>
    <w:rsid w:val="00D41C38"/>
    <w:rsid w:val="00D42201"/>
    <w:rsid w:val="00D427EF"/>
    <w:rsid w:val="00D428FD"/>
    <w:rsid w:val="00D42E3C"/>
    <w:rsid w:val="00D43465"/>
    <w:rsid w:val="00D43593"/>
    <w:rsid w:val="00D436FA"/>
    <w:rsid w:val="00D44F7F"/>
    <w:rsid w:val="00D45516"/>
    <w:rsid w:val="00D45624"/>
    <w:rsid w:val="00D4609C"/>
    <w:rsid w:val="00D46A02"/>
    <w:rsid w:val="00D4762C"/>
    <w:rsid w:val="00D50464"/>
    <w:rsid w:val="00D506B2"/>
    <w:rsid w:val="00D50962"/>
    <w:rsid w:val="00D509E9"/>
    <w:rsid w:val="00D50B96"/>
    <w:rsid w:val="00D50ECA"/>
    <w:rsid w:val="00D5132E"/>
    <w:rsid w:val="00D51367"/>
    <w:rsid w:val="00D520A8"/>
    <w:rsid w:val="00D52665"/>
    <w:rsid w:val="00D52EC4"/>
    <w:rsid w:val="00D5337C"/>
    <w:rsid w:val="00D53645"/>
    <w:rsid w:val="00D537B4"/>
    <w:rsid w:val="00D53A87"/>
    <w:rsid w:val="00D541E0"/>
    <w:rsid w:val="00D543AB"/>
    <w:rsid w:val="00D54A7D"/>
    <w:rsid w:val="00D5559D"/>
    <w:rsid w:val="00D55675"/>
    <w:rsid w:val="00D570B0"/>
    <w:rsid w:val="00D57189"/>
    <w:rsid w:val="00D57471"/>
    <w:rsid w:val="00D5795E"/>
    <w:rsid w:val="00D57BAB"/>
    <w:rsid w:val="00D60E9B"/>
    <w:rsid w:val="00D61BD5"/>
    <w:rsid w:val="00D61D79"/>
    <w:rsid w:val="00D62C17"/>
    <w:rsid w:val="00D62CDC"/>
    <w:rsid w:val="00D63A32"/>
    <w:rsid w:val="00D6478D"/>
    <w:rsid w:val="00D65DFA"/>
    <w:rsid w:val="00D65EB7"/>
    <w:rsid w:val="00D6613F"/>
    <w:rsid w:val="00D667CE"/>
    <w:rsid w:val="00D66E18"/>
    <w:rsid w:val="00D673F6"/>
    <w:rsid w:val="00D6783E"/>
    <w:rsid w:val="00D67DCD"/>
    <w:rsid w:val="00D704BB"/>
    <w:rsid w:val="00D706F6"/>
    <w:rsid w:val="00D70A9D"/>
    <w:rsid w:val="00D70F09"/>
    <w:rsid w:val="00D70FD7"/>
    <w:rsid w:val="00D72333"/>
    <w:rsid w:val="00D72C14"/>
    <w:rsid w:val="00D72DCD"/>
    <w:rsid w:val="00D73F5D"/>
    <w:rsid w:val="00D743BB"/>
    <w:rsid w:val="00D743D0"/>
    <w:rsid w:val="00D74BE4"/>
    <w:rsid w:val="00D74D0D"/>
    <w:rsid w:val="00D7526C"/>
    <w:rsid w:val="00D755C2"/>
    <w:rsid w:val="00D75733"/>
    <w:rsid w:val="00D757A3"/>
    <w:rsid w:val="00D75D22"/>
    <w:rsid w:val="00D762E3"/>
    <w:rsid w:val="00D764A8"/>
    <w:rsid w:val="00D765E5"/>
    <w:rsid w:val="00D76734"/>
    <w:rsid w:val="00D769D6"/>
    <w:rsid w:val="00D76F2D"/>
    <w:rsid w:val="00D7711D"/>
    <w:rsid w:val="00D771FF"/>
    <w:rsid w:val="00D77447"/>
    <w:rsid w:val="00D77773"/>
    <w:rsid w:val="00D77DA0"/>
    <w:rsid w:val="00D803BC"/>
    <w:rsid w:val="00D80DC2"/>
    <w:rsid w:val="00D8178B"/>
    <w:rsid w:val="00D819E1"/>
    <w:rsid w:val="00D81E1A"/>
    <w:rsid w:val="00D81FF7"/>
    <w:rsid w:val="00D82010"/>
    <w:rsid w:val="00D826BB"/>
    <w:rsid w:val="00D8333C"/>
    <w:rsid w:val="00D84420"/>
    <w:rsid w:val="00D84581"/>
    <w:rsid w:val="00D84DFE"/>
    <w:rsid w:val="00D8513B"/>
    <w:rsid w:val="00D851CA"/>
    <w:rsid w:val="00D854E5"/>
    <w:rsid w:val="00D85780"/>
    <w:rsid w:val="00D8673C"/>
    <w:rsid w:val="00D8681A"/>
    <w:rsid w:val="00D86995"/>
    <w:rsid w:val="00D877B4"/>
    <w:rsid w:val="00D91499"/>
    <w:rsid w:val="00D91A12"/>
    <w:rsid w:val="00D921FF"/>
    <w:rsid w:val="00D92735"/>
    <w:rsid w:val="00D92B88"/>
    <w:rsid w:val="00D92C4D"/>
    <w:rsid w:val="00D92D95"/>
    <w:rsid w:val="00D92DDF"/>
    <w:rsid w:val="00D92FA7"/>
    <w:rsid w:val="00D93474"/>
    <w:rsid w:val="00D93BC5"/>
    <w:rsid w:val="00D93EE6"/>
    <w:rsid w:val="00D94217"/>
    <w:rsid w:val="00D94944"/>
    <w:rsid w:val="00D949DF"/>
    <w:rsid w:val="00D94E28"/>
    <w:rsid w:val="00D9564F"/>
    <w:rsid w:val="00D95CAF"/>
    <w:rsid w:val="00D9629C"/>
    <w:rsid w:val="00D962CD"/>
    <w:rsid w:val="00D96DC2"/>
    <w:rsid w:val="00D97B5B"/>
    <w:rsid w:val="00D97C4A"/>
    <w:rsid w:val="00D97D15"/>
    <w:rsid w:val="00DA0A12"/>
    <w:rsid w:val="00DA197D"/>
    <w:rsid w:val="00DA1FCD"/>
    <w:rsid w:val="00DA2B6B"/>
    <w:rsid w:val="00DA2DD8"/>
    <w:rsid w:val="00DA392A"/>
    <w:rsid w:val="00DA4402"/>
    <w:rsid w:val="00DA4911"/>
    <w:rsid w:val="00DA4A21"/>
    <w:rsid w:val="00DA4F25"/>
    <w:rsid w:val="00DA4F46"/>
    <w:rsid w:val="00DA52D9"/>
    <w:rsid w:val="00DA6721"/>
    <w:rsid w:val="00DA67C4"/>
    <w:rsid w:val="00DA6EF5"/>
    <w:rsid w:val="00DA7AFD"/>
    <w:rsid w:val="00DB1863"/>
    <w:rsid w:val="00DB191D"/>
    <w:rsid w:val="00DB1D18"/>
    <w:rsid w:val="00DB1D78"/>
    <w:rsid w:val="00DB23E0"/>
    <w:rsid w:val="00DB2588"/>
    <w:rsid w:val="00DB2BB3"/>
    <w:rsid w:val="00DB2F54"/>
    <w:rsid w:val="00DB336E"/>
    <w:rsid w:val="00DB6841"/>
    <w:rsid w:val="00DB6F04"/>
    <w:rsid w:val="00DB7B75"/>
    <w:rsid w:val="00DB7C7D"/>
    <w:rsid w:val="00DC00C9"/>
    <w:rsid w:val="00DC0D46"/>
    <w:rsid w:val="00DC1293"/>
    <w:rsid w:val="00DC155B"/>
    <w:rsid w:val="00DC177A"/>
    <w:rsid w:val="00DC1CAB"/>
    <w:rsid w:val="00DC203B"/>
    <w:rsid w:val="00DC2212"/>
    <w:rsid w:val="00DC26EE"/>
    <w:rsid w:val="00DC3400"/>
    <w:rsid w:val="00DC3A37"/>
    <w:rsid w:val="00DC3D3E"/>
    <w:rsid w:val="00DC3E80"/>
    <w:rsid w:val="00DC41D9"/>
    <w:rsid w:val="00DC44D5"/>
    <w:rsid w:val="00DC4582"/>
    <w:rsid w:val="00DC59F6"/>
    <w:rsid w:val="00DC5A41"/>
    <w:rsid w:val="00DC5F88"/>
    <w:rsid w:val="00DC605E"/>
    <w:rsid w:val="00DC6770"/>
    <w:rsid w:val="00DC6C2F"/>
    <w:rsid w:val="00DD0838"/>
    <w:rsid w:val="00DD0E86"/>
    <w:rsid w:val="00DD149F"/>
    <w:rsid w:val="00DD1BF0"/>
    <w:rsid w:val="00DD275F"/>
    <w:rsid w:val="00DD2973"/>
    <w:rsid w:val="00DD3354"/>
    <w:rsid w:val="00DD347C"/>
    <w:rsid w:val="00DD3658"/>
    <w:rsid w:val="00DD460E"/>
    <w:rsid w:val="00DD4643"/>
    <w:rsid w:val="00DD4695"/>
    <w:rsid w:val="00DD5F6B"/>
    <w:rsid w:val="00DD713A"/>
    <w:rsid w:val="00DD7D6F"/>
    <w:rsid w:val="00DD7DFA"/>
    <w:rsid w:val="00DE0B32"/>
    <w:rsid w:val="00DE198D"/>
    <w:rsid w:val="00DE2802"/>
    <w:rsid w:val="00DE2FE0"/>
    <w:rsid w:val="00DE3078"/>
    <w:rsid w:val="00DE360D"/>
    <w:rsid w:val="00DE3729"/>
    <w:rsid w:val="00DE38E5"/>
    <w:rsid w:val="00DE5A4B"/>
    <w:rsid w:val="00DE5BC9"/>
    <w:rsid w:val="00DE68D8"/>
    <w:rsid w:val="00DE7B7E"/>
    <w:rsid w:val="00DE7DD9"/>
    <w:rsid w:val="00DF033F"/>
    <w:rsid w:val="00DF0396"/>
    <w:rsid w:val="00DF07B3"/>
    <w:rsid w:val="00DF08F3"/>
    <w:rsid w:val="00DF0D18"/>
    <w:rsid w:val="00DF0D66"/>
    <w:rsid w:val="00DF0E19"/>
    <w:rsid w:val="00DF0E4B"/>
    <w:rsid w:val="00DF1147"/>
    <w:rsid w:val="00DF16B9"/>
    <w:rsid w:val="00DF16BE"/>
    <w:rsid w:val="00DF1D51"/>
    <w:rsid w:val="00DF1F06"/>
    <w:rsid w:val="00DF2120"/>
    <w:rsid w:val="00DF29F9"/>
    <w:rsid w:val="00DF2BF9"/>
    <w:rsid w:val="00DF2FAD"/>
    <w:rsid w:val="00DF357D"/>
    <w:rsid w:val="00DF39C0"/>
    <w:rsid w:val="00DF4F6D"/>
    <w:rsid w:val="00DF5190"/>
    <w:rsid w:val="00DF5427"/>
    <w:rsid w:val="00DF568F"/>
    <w:rsid w:val="00DF5E65"/>
    <w:rsid w:val="00DF6940"/>
    <w:rsid w:val="00DF69CA"/>
    <w:rsid w:val="00DF6E8F"/>
    <w:rsid w:val="00DF70DF"/>
    <w:rsid w:val="00DF728A"/>
    <w:rsid w:val="00DF78D0"/>
    <w:rsid w:val="00E0037D"/>
    <w:rsid w:val="00E0065B"/>
    <w:rsid w:val="00E00DC7"/>
    <w:rsid w:val="00E02153"/>
    <w:rsid w:val="00E02298"/>
    <w:rsid w:val="00E023E8"/>
    <w:rsid w:val="00E02786"/>
    <w:rsid w:val="00E02DCB"/>
    <w:rsid w:val="00E03063"/>
    <w:rsid w:val="00E03CEA"/>
    <w:rsid w:val="00E03F22"/>
    <w:rsid w:val="00E0404E"/>
    <w:rsid w:val="00E055E7"/>
    <w:rsid w:val="00E05C15"/>
    <w:rsid w:val="00E06316"/>
    <w:rsid w:val="00E06ADA"/>
    <w:rsid w:val="00E0714C"/>
    <w:rsid w:val="00E07CA9"/>
    <w:rsid w:val="00E104E3"/>
    <w:rsid w:val="00E10609"/>
    <w:rsid w:val="00E10882"/>
    <w:rsid w:val="00E11038"/>
    <w:rsid w:val="00E11ABA"/>
    <w:rsid w:val="00E12142"/>
    <w:rsid w:val="00E12156"/>
    <w:rsid w:val="00E12440"/>
    <w:rsid w:val="00E12EF6"/>
    <w:rsid w:val="00E12F63"/>
    <w:rsid w:val="00E13612"/>
    <w:rsid w:val="00E13729"/>
    <w:rsid w:val="00E13D7A"/>
    <w:rsid w:val="00E14989"/>
    <w:rsid w:val="00E14A52"/>
    <w:rsid w:val="00E16050"/>
    <w:rsid w:val="00E16396"/>
    <w:rsid w:val="00E1641F"/>
    <w:rsid w:val="00E1655B"/>
    <w:rsid w:val="00E17411"/>
    <w:rsid w:val="00E17520"/>
    <w:rsid w:val="00E17CBB"/>
    <w:rsid w:val="00E20BE8"/>
    <w:rsid w:val="00E20DCB"/>
    <w:rsid w:val="00E20FAA"/>
    <w:rsid w:val="00E21D51"/>
    <w:rsid w:val="00E21F41"/>
    <w:rsid w:val="00E23327"/>
    <w:rsid w:val="00E23F74"/>
    <w:rsid w:val="00E2481C"/>
    <w:rsid w:val="00E24C3B"/>
    <w:rsid w:val="00E251F1"/>
    <w:rsid w:val="00E25258"/>
    <w:rsid w:val="00E252AC"/>
    <w:rsid w:val="00E252B3"/>
    <w:rsid w:val="00E253EF"/>
    <w:rsid w:val="00E2552E"/>
    <w:rsid w:val="00E257B7"/>
    <w:rsid w:val="00E2644C"/>
    <w:rsid w:val="00E27474"/>
    <w:rsid w:val="00E30CB3"/>
    <w:rsid w:val="00E30CDC"/>
    <w:rsid w:val="00E323C6"/>
    <w:rsid w:val="00E324B5"/>
    <w:rsid w:val="00E33402"/>
    <w:rsid w:val="00E33621"/>
    <w:rsid w:val="00E3420A"/>
    <w:rsid w:val="00E34410"/>
    <w:rsid w:val="00E349BB"/>
    <w:rsid w:val="00E34AD6"/>
    <w:rsid w:val="00E34C28"/>
    <w:rsid w:val="00E357C5"/>
    <w:rsid w:val="00E35CF3"/>
    <w:rsid w:val="00E3630F"/>
    <w:rsid w:val="00E36AA1"/>
    <w:rsid w:val="00E36CAC"/>
    <w:rsid w:val="00E36FA6"/>
    <w:rsid w:val="00E3718F"/>
    <w:rsid w:val="00E372BE"/>
    <w:rsid w:val="00E37827"/>
    <w:rsid w:val="00E4018D"/>
    <w:rsid w:val="00E40F72"/>
    <w:rsid w:val="00E41670"/>
    <w:rsid w:val="00E42395"/>
    <w:rsid w:val="00E42E6E"/>
    <w:rsid w:val="00E43388"/>
    <w:rsid w:val="00E44731"/>
    <w:rsid w:val="00E44A72"/>
    <w:rsid w:val="00E45683"/>
    <w:rsid w:val="00E45AC5"/>
    <w:rsid w:val="00E45E4D"/>
    <w:rsid w:val="00E463E2"/>
    <w:rsid w:val="00E46F15"/>
    <w:rsid w:val="00E47529"/>
    <w:rsid w:val="00E4772E"/>
    <w:rsid w:val="00E479B8"/>
    <w:rsid w:val="00E50E46"/>
    <w:rsid w:val="00E5138E"/>
    <w:rsid w:val="00E515AE"/>
    <w:rsid w:val="00E51FC9"/>
    <w:rsid w:val="00E52765"/>
    <w:rsid w:val="00E52A3C"/>
    <w:rsid w:val="00E52BF2"/>
    <w:rsid w:val="00E542C4"/>
    <w:rsid w:val="00E55717"/>
    <w:rsid w:val="00E561E2"/>
    <w:rsid w:val="00E5639D"/>
    <w:rsid w:val="00E564C1"/>
    <w:rsid w:val="00E56C1A"/>
    <w:rsid w:val="00E6000B"/>
    <w:rsid w:val="00E6007E"/>
    <w:rsid w:val="00E60275"/>
    <w:rsid w:val="00E61F3D"/>
    <w:rsid w:val="00E62C20"/>
    <w:rsid w:val="00E63017"/>
    <w:rsid w:val="00E6385F"/>
    <w:rsid w:val="00E63B2A"/>
    <w:rsid w:val="00E65B8F"/>
    <w:rsid w:val="00E65C85"/>
    <w:rsid w:val="00E663B6"/>
    <w:rsid w:val="00E66B2E"/>
    <w:rsid w:val="00E66D6E"/>
    <w:rsid w:val="00E6755E"/>
    <w:rsid w:val="00E67D56"/>
    <w:rsid w:val="00E67EF6"/>
    <w:rsid w:val="00E7062E"/>
    <w:rsid w:val="00E70D8F"/>
    <w:rsid w:val="00E70F19"/>
    <w:rsid w:val="00E7110B"/>
    <w:rsid w:val="00E712E2"/>
    <w:rsid w:val="00E7196D"/>
    <w:rsid w:val="00E71B4E"/>
    <w:rsid w:val="00E7206C"/>
    <w:rsid w:val="00E726E0"/>
    <w:rsid w:val="00E7295C"/>
    <w:rsid w:val="00E737D2"/>
    <w:rsid w:val="00E74832"/>
    <w:rsid w:val="00E75601"/>
    <w:rsid w:val="00E75667"/>
    <w:rsid w:val="00E771AD"/>
    <w:rsid w:val="00E7733E"/>
    <w:rsid w:val="00E7737C"/>
    <w:rsid w:val="00E8047F"/>
    <w:rsid w:val="00E8071A"/>
    <w:rsid w:val="00E80C13"/>
    <w:rsid w:val="00E8135D"/>
    <w:rsid w:val="00E81AD9"/>
    <w:rsid w:val="00E828DF"/>
    <w:rsid w:val="00E84174"/>
    <w:rsid w:val="00E84A1E"/>
    <w:rsid w:val="00E84B03"/>
    <w:rsid w:val="00E8514B"/>
    <w:rsid w:val="00E857C0"/>
    <w:rsid w:val="00E85C9C"/>
    <w:rsid w:val="00E8622F"/>
    <w:rsid w:val="00E865C9"/>
    <w:rsid w:val="00E869D8"/>
    <w:rsid w:val="00E870DC"/>
    <w:rsid w:val="00E87210"/>
    <w:rsid w:val="00E87A62"/>
    <w:rsid w:val="00E87BF9"/>
    <w:rsid w:val="00E87C87"/>
    <w:rsid w:val="00E9013B"/>
    <w:rsid w:val="00E901C4"/>
    <w:rsid w:val="00E90E25"/>
    <w:rsid w:val="00E92816"/>
    <w:rsid w:val="00E9281C"/>
    <w:rsid w:val="00E94981"/>
    <w:rsid w:val="00E94C3E"/>
    <w:rsid w:val="00E95CD6"/>
    <w:rsid w:val="00E96630"/>
    <w:rsid w:val="00E96EFF"/>
    <w:rsid w:val="00EA054F"/>
    <w:rsid w:val="00EA112D"/>
    <w:rsid w:val="00EA18CF"/>
    <w:rsid w:val="00EA248E"/>
    <w:rsid w:val="00EA32F9"/>
    <w:rsid w:val="00EA3362"/>
    <w:rsid w:val="00EA3470"/>
    <w:rsid w:val="00EA3B14"/>
    <w:rsid w:val="00EA3F4F"/>
    <w:rsid w:val="00EA4592"/>
    <w:rsid w:val="00EA4816"/>
    <w:rsid w:val="00EA490B"/>
    <w:rsid w:val="00EA4BA3"/>
    <w:rsid w:val="00EA5283"/>
    <w:rsid w:val="00EA54DC"/>
    <w:rsid w:val="00EA57D0"/>
    <w:rsid w:val="00EA5869"/>
    <w:rsid w:val="00EA62F4"/>
    <w:rsid w:val="00EA6437"/>
    <w:rsid w:val="00EA6E87"/>
    <w:rsid w:val="00EA6F1F"/>
    <w:rsid w:val="00EA7366"/>
    <w:rsid w:val="00EB199F"/>
    <w:rsid w:val="00EB2203"/>
    <w:rsid w:val="00EB263A"/>
    <w:rsid w:val="00EB28B3"/>
    <w:rsid w:val="00EB2FB2"/>
    <w:rsid w:val="00EB3048"/>
    <w:rsid w:val="00EB321C"/>
    <w:rsid w:val="00EB3444"/>
    <w:rsid w:val="00EB3864"/>
    <w:rsid w:val="00EB3892"/>
    <w:rsid w:val="00EB4676"/>
    <w:rsid w:val="00EB5862"/>
    <w:rsid w:val="00EB5B79"/>
    <w:rsid w:val="00EB6B84"/>
    <w:rsid w:val="00EB6D91"/>
    <w:rsid w:val="00EB6DBF"/>
    <w:rsid w:val="00EB72B6"/>
    <w:rsid w:val="00EB7471"/>
    <w:rsid w:val="00EB7537"/>
    <w:rsid w:val="00EB77ED"/>
    <w:rsid w:val="00EB7902"/>
    <w:rsid w:val="00EC160A"/>
    <w:rsid w:val="00EC2320"/>
    <w:rsid w:val="00EC2526"/>
    <w:rsid w:val="00EC2796"/>
    <w:rsid w:val="00EC2801"/>
    <w:rsid w:val="00EC2C7D"/>
    <w:rsid w:val="00EC3594"/>
    <w:rsid w:val="00EC362A"/>
    <w:rsid w:val="00EC3CB6"/>
    <w:rsid w:val="00EC4E82"/>
    <w:rsid w:val="00EC501A"/>
    <w:rsid w:val="00EC505F"/>
    <w:rsid w:val="00EC50D6"/>
    <w:rsid w:val="00EC5AF9"/>
    <w:rsid w:val="00EC5EA2"/>
    <w:rsid w:val="00EC65E5"/>
    <w:rsid w:val="00EC6BA9"/>
    <w:rsid w:val="00EC6D11"/>
    <w:rsid w:val="00EC75D4"/>
    <w:rsid w:val="00EC763A"/>
    <w:rsid w:val="00EC7779"/>
    <w:rsid w:val="00ED0330"/>
    <w:rsid w:val="00ED0D54"/>
    <w:rsid w:val="00ED0D76"/>
    <w:rsid w:val="00ED0EDE"/>
    <w:rsid w:val="00ED12B5"/>
    <w:rsid w:val="00ED1F1A"/>
    <w:rsid w:val="00ED2512"/>
    <w:rsid w:val="00ED3844"/>
    <w:rsid w:val="00ED4923"/>
    <w:rsid w:val="00ED4D9D"/>
    <w:rsid w:val="00ED5A0E"/>
    <w:rsid w:val="00ED5C0C"/>
    <w:rsid w:val="00ED6195"/>
    <w:rsid w:val="00ED6757"/>
    <w:rsid w:val="00ED6A1E"/>
    <w:rsid w:val="00ED6F12"/>
    <w:rsid w:val="00ED6FA4"/>
    <w:rsid w:val="00ED7146"/>
    <w:rsid w:val="00ED7348"/>
    <w:rsid w:val="00ED73B2"/>
    <w:rsid w:val="00ED7CFC"/>
    <w:rsid w:val="00EE03F8"/>
    <w:rsid w:val="00EE0C60"/>
    <w:rsid w:val="00EE0E8A"/>
    <w:rsid w:val="00EE128B"/>
    <w:rsid w:val="00EE20CF"/>
    <w:rsid w:val="00EE225E"/>
    <w:rsid w:val="00EE254E"/>
    <w:rsid w:val="00EE265D"/>
    <w:rsid w:val="00EE28C3"/>
    <w:rsid w:val="00EE2C7E"/>
    <w:rsid w:val="00EE3740"/>
    <w:rsid w:val="00EE3EE5"/>
    <w:rsid w:val="00EE4418"/>
    <w:rsid w:val="00EE4593"/>
    <w:rsid w:val="00EE4679"/>
    <w:rsid w:val="00EE4762"/>
    <w:rsid w:val="00EE48B4"/>
    <w:rsid w:val="00EE49F1"/>
    <w:rsid w:val="00EE4F95"/>
    <w:rsid w:val="00EE75BE"/>
    <w:rsid w:val="00EE79FD"/>
    <w:rsid w:val="00EF0D63"/>
    <w:rsid w:val="00EF0F0D"/>
    <w:rsid w:val="00EF105A"/>
    <w:rsid w:val="00EF12C4"/>
    <w:rsid w:val="00EF19C5"/>
    <w:rsid w:val="00EF1A88"/>
    <w:rsid w:val="00EF202A"/>
    <w:rsid w:val="00EF20DB"/>
    <w:rsid w:val="00EF29DB"/>
    <w:rsid w:val="00EF3627"/>
    <w:rsid w:val="00EF4EBA"/>
    <w:rsid w:val="00EF52DB"/>
    <w:rsid w:val="00EF5849"/>
    <w:rsid w:val="00EF5B43"/>
    <w:rsid w:val="00EF5CF7"/>
    <w:rsid w:val="00EF638C"/>
    <w:rsid w:val="00EF67F4"/>
    <w:rsid w:val="00EF74FC"/>
    <w:rsid w:val="00F0040F"/>
    <w:rsid w:val="00F00D08"/>
    <w:rsid w:val="00F01DA2"/>
    <w:rsid w:val="00F0227B"/>
    <w:rsid w:val="00F02F68"/>
    <w:rsid w:val="00F0306A"/>
    <w:rsid w:val="00F03446"/>
    <w:rsid w:val="00F0423B"/>
    <w:rsid w:val="00F0446C"/>
    <w:rsid w:val="00F0479D"/>
    <w:rsid w:val="00F04B6F"/>
    <w:rsid w:val="00F04D80"/>
    <w:rsid w:val="00F05196"/>
    <w:rsid w:val="00F056D9"/>
    <w:rsid w:val="00F06068"/>
    <w:rsid w:val="00F065E8"/>
    <w:rsid w:val="00F06613"/>
    <w:rsid w:val="00F07091"/>
    <w:rsid w:val="00F074D0"/>
    <w:rsid w:val="00F1021A"/>
    <w:rsid w:val="00F11B62"/>
    <w:rsid w:val="00F121C1"/>
    <w:rsid w:val="00F12223"/>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579"/>
    <w:rsid w:val="00F166FE"/>
    <w:rsid w:val="00F16729"/>
    <w:rsid w:val="00F17D07"/>
    <w:rsid w:val="00F208DB"/>
    <w:rsid w:val="00F20AB5"/>
    <w:rsid w:val="00F21113"/>
    <w:rsid w:val="00F21783"/>
    <w:rsid w:val="00F2182B"/>
    <w:rsid w:val="00F21A68"/>
    <w:rsid w:val="00F222FE"/>
    <w:rsid w:val="00F22394"/>
    <w:rsid w:val="00F223A9"/>
    <w:rsid w:val="00F22478"/>
    <w:rsid w:val="00F22789"/>
    <w:rsid w:val="00F22967"/>
    <w:rsid w:val="00F236B8"/>
    <w:rsid w:val="00F23F5F"/>
    <w:rsid w:val="00F25369"/>
    <w:rsid w:val="00F2547C"/>
    <w:rsid w:val="00F266A7"/>
    <w:rsid w:val="00F26E1B"/>
    <w:rsid w:val="00F26E62"/>
    <w:rsid w:val="00F26F8F"/>
    <w:rsid w:val="00F27899"/>
    <w:rsid w:val="00F2799B"/>
    <w:rsid w:val="00F30137"/>
    <w:rsid w:val="00F31010"/>
    <w:rsid w:val="00F32065"/>
    <w:rsid w:val="00F331FC"/>
    <w:rsid w:val="00F33D73"/>
    <w:rsid w:val="00F3403D"/>
    <w:rsid w:val="00F342CE"/>
    <w:rsid w:val="00F34318"/>
    <w:rsid w:val="00F3490B"/>
    <w:rsid w:val="00F34B2A"/>
    <w:rsid w:val="00F3504E"/>
    <w:rsid w:val="00F3517C"/>
    <w:rsid w:val="00F362D6"/>
    <w:rsid w:val="00F36304"/>
    <w:rsid w:val="00F365FE"/>
    <w:rsid w:val="00F37986"/>
    <w:rsid w:val="00F37AAA"/>
    <w:rsid w:val="00F40AC3"/>
    <w:rsid w:val="00F40B89"/>
    <w:rsid w:val="00F40D4B"/>
    <w:rsid w:val="00F417AC"/>
    <w:rsid w:val="00F42564"/>
    <w:rsid w:val="00F42A8E"/>
    <w:rsid w:val="00F42DD0"/>
    <w:rsid w:val="00F43AC2"/>
    <w:rsid w:val="00F43C2D"/>
    <w:rsid w:val="00F43FB5"/>
    <w:rsid w:val="00F44083"/>
    <w:rsid w:val="00F4411C"/>
    <w:rsid w:val="00F45024"/>
    <w:rsid w:val="00F4502D"/>
    <w:rsid w:val="00F4503F"/>
    <w:rsid w:val="00F455AA"/>
    <w:rsid w:val="00F45BC6"/>
    <w:rsid w:val="00F47566"/>
    <w:rsid w:val="00F512E9"/>
    <w:rsid w:val="00F51F82"/>
    <w:rsid w:val="00F52486"/>
    <w:rsid w:val="00F52D2C"/>
    <w:rsid w:val="00F53071"/>
    <w:rsid w:val="00F53434"/>
    <w:rsid w:val="00F53FE3"/>
    <w:rsid w:val="00F54AA2"/>
    <w:rsid w:val="00F5537D"/>
    <w:rsid w:val="00F55A11"/>
    <w:rsid w:val="00F563B0"/>
    <w:rsid w:val="00F56724"/>
    <w:rsid w:val="00F56BF5"/>
    <w:rsid w:val="00F572EE"/>
    <w:rsid w:val="00F573F2"/>
    <w:rsid w:val="00F57DA2"/>
    <w:rsid w:val="00F6059C"/>
    <w:rsid w:val="00F61367"/>
    <w:rsid w:val="00F626C3"/>
    <w:rsid w:val="00F627B3"/>
    <w:rsid w:val="00F64D83"/>
    <w:rsid w:val="00F65095"/>
    <w:rsid w:val="00F652D3"/>
    <w:rsid w:val="00F652F9"/>
    <w:rsid w:val="00F65612"/>
    <w:rsid w:val="00F65FDC"/>
    <w:rsid w:val="00F66083"/>
    <w:rsid w:val="00F66937"/>
    <w:rsid w:val="00F6693A"/>
    <w:rsid w:val="00F66DE9"/>
    <w:rsid w:val="00F6761E"/>
    <w:rsid w:val="00F67BE7"/>
    <w:rsid w:val="00F70934"/>
    <w:rsid w:val="00F70A82"/>
    <w:rsid w:val="00F70E16"/>
    <w:rsid w:val="00F72474"/>
    <w:rsid w:val="00F727F8"/>
    <w:rsid w:val="00F72C90"/>
    <w:rsid w:val="00F73277"/>
    <w:rsid w:val="00F7408F"/>
    <w:rsid w:val="00F745D4"/>
    <w:rsid w:val="00F74FCE"/>
    <w:rsid w:val="00F750FF"/>
    <w:rsid w:val="00F76889"/>
    <w:rsid w:val="00F76DF6"/>
    <w:rsid w:val="00F776C2"/>
    <w:rsid w:val="00F778B7"/>
    <w:rsid w:val="00F77C38"/>
    <w:rsid w:val="00F809C3"/>
    <w:rsid w:val="00F80C77"/>
    <w:rsid w:val="00F81067"/>
    <w:rsid w:val="00F815F0"/>
    <w:rsid w:val="00F820DA"/>
    <w:rsid w:val="00F82986"/>
    <w:rsid w:val="00F82CF0"/>
    <w:rsid w:val="00F83715"/>
    <w:rsid w:val="00F837E2"/>
    <w:rsid w:val="00F846D2"/>
    <w:rsid w:val="00F85228"/>
    <w:rsid w:val="00F85409"/>
    <w:rsid w:val="00F85580"/>
    <w:rsid w:val="00F85660"/>
    <w:rsid w:val="00F856DB"/>
    <w:rsid w:val="00F858ED"/>
    <w:rsid w:val="00F861F4"/>
    <w:rsid w:val="00F86C3C"/>
    <w:rsid w:val="00F86C5D"/>
    <w:rsid w:val="00F87292"/>
    <w:rsid w:val="00F87418"/>
    <w:rsid w:val="00F8763B"/>
    <w:rsid w:val="00F87665"/>
    <w:rsid w:val="00F87849"/>
    <w:rsid w:val="00F87A43"/>
    <w:rsid w:val="00F87AF9"/>
    <w:rsid w:val="00F87B3D"/>
    <w:rsid w:val="00F903AD"/>
    <w:rsid w:val="00F903B0"/>
    <w:rsid w:val="00F90BCB"/>
    <w:rsid w:val="00F90FC5"/>
    <w:rsid w:val="00F91558"/>
    <w:rsid w:val="00F9167C"/>
    <w:rsid w:val="00F921B0"/>
    <w:rsid w:val="00F92345"/>
    <w:rsid w:val="00F93073"/>
    <w:rsid w:val="00F9329A"/>
    <w:rsid w:val="00F9346A"/>
    <w:rsid w:val="00F94681"/>
    <w:rsid w:val="00F9595F"/>
    <w:rsid w:val="00F959FC"/>
    <w:rsid w:val="00F9652F"/>
    <w:rsid w:val="00F97328"/>
    <w:rsid w:val="00F975EA"/>
    <w:rsid w:val="00FA0DBC"/>
    <w:rsid w:val="00FA1A87"/>
    <w:rsid w:val="00FA23D5"/>
    <w:rsid w:val="00FA2588"/>
    <w:rsid w:val="00FA3251"/>
    <w:rsid w:val="00FA3827"/>
    <w:rsid w:val="00FA3854"/>
    <w:rsid w:val="00FA396F"/>
    <w:rsid w:val="00FA3D12"/>
    <w:rsid w:val="00FA5829"/>
    <w:rsid w:val="00FA63D9"/>
    <w:rsid w:val="00FA6571"/>
    <w:rsid w:val="00FA6A9F"/>
    <w:rsid w:val="00FA6B09"/>
    <w:rsid w:val="00FA6C9D"/>
    <w:rsid w:val="00FA72AF"/>
    <w:rsid w:val="00FA76E5"/>
    <w:rsid w:val="00FA770A"/>
    <w:rsid w:val="00FA7A00"/>
    <w:rsid w:val="00FA7D6F"/>
    <w:rsid w:val="00FA7FA6"/>
    <w:rsid w:val="00FB12DA"/>
    <w:rsid w:val="00FB1305"/>
    <w:rsid w:val="00FB2A7C"/>
    <w:rsid w:val="00FB2C67"/>
    <w:rsid w:val="00FB2D9B"/>
    <w:rsid w:val="00FB3A91"/>
    <w:rsid w:val="00FB3A99"/>
    <w:rsid w:val="00FB4790"/>
    <w:rsid w:val="00FB561C"/>
    <w:rsid w:val="00FB6CCB"/>
    <w:rsid w:val="00FB6D4C"/>
    <w:rsid w:val="00FB6DA9"/>
    <w:rsid w:val="00FB7374"/>
    <w:rsid w:val="00FB76A8"/>
    <w:rsid w:val="00FB7F3A"/>
    <w:rsid w:val="00FC023D"/>
    <w:rsid w:val="00FC0D95"/>
    <w:rsid w:val="00FC17B8"/>
    <w:rsid w:val="00FC324A"/>
    <w:rsid w:val="00FC35DA"/>
    <w:rsid w:val="00FC385A"/>
    <w:rsid w:val="00FC4518"/>
    <w:rsid w:val="00FC490D"/>
    <w:rsid w:val="00FC49B1"/>
    <w:rsid w:val="00FC5281"/>
    <w:rsid w:val="00FC537E"/>
    <w:rsid w:val="00FC549C"/>
    <w:rsid w:val="00FC5FEE"/>
    <w:rsid w:val="00FC7345"/>
    <w:rsid w:val="00FC7D97"/>
    <w:rsid w:val="00FC7EA9"/>
    <w:rsid w:val="00FD04A0"/>
    <w:rsid w:val="00FD1B52"/>
    <w:rsid w:val="00FD2407"/>
    <w:rsid w:val="00FD2436"/>
    <w:rsid w:val="00FD2AEA"/>
    <w:rsid w:val="00FD3780"/>
    <w:rsid w:val="00FD3B5C"/>
    <w:rsid w:val="00FD3E8C"/>
    <w:rsid w:val="00FD41ED"/>
    <w:rsid w:val="00FD42CD"/>
    <w:rsid w:val="00FD48E4"/>
    <w:rsid w:val="00FD5924"/>
    <w:rsid w:val="00FD5C8A"/>
    <w:rsid w:val="00FD5D80"/>
    <w:rsid w:val="00FD5F86"/>
    <w:rsid w:val="00FD6557"/>
    <w:rsid w:val="00FD69A2"/>
    <w:rsid w:val="00FD69FC"/>
    <w:rsid w:val="00FD6E1F"/>
    <w:rsid w:val="00FD6EFC"/>
    <w:rsid w:val="00FD7D26"/>
    <w:rsid w:val="00FE07E4"/>
    <w:rsid w:val="00FE0854"/>
    <w:rsid w:val="00FE092C"/>
    <w:rsid w:val="00FE1019"/>
    <w:rsid w:val="00FE157C"/>
    <w:rsid w:val="00FE19B5"/>
    <w:rsid w:val="00FE1A78"/>
    <w:rsid w:val="00FE24D9"/>
    <w:rsid w:val="00FE2CEC"/>
    <w:rsid w:val="00FE3713"/>
    <w:rsid w:val="00FE37C6"/>
    <w:rsid w:val="00FE3CC4"/>
    <w:rsid w:val="00FE4AB4"/>
    <w:rsid w:val="00FE5C69"/>
    <w:rsid w:val="00FE7F01"/>
    <w:rsid w:val="00FF0057"/>
    <w:rsid w:val="00FF04EA"/>
    <w:rsid w:val="00FF051C"/>
    <w:rsid w:val="00FF06E6"/>
    <w:rsid w:val="00FF0A9F"/>
    <w:rsid w:val="00FF0C2E"/>
    <w:rsid w:val="00FF0FE7"/>
    <w:rsid w:val="00FF11AA"/>
    <w:rsid w:val="00FF14D4"/>
    <w:rsid w:val="00FF15B7"/>
    <w:rsid w:val="00FF179F"/>
    <w:rsid w:val="00FF186E"/>
    <w:rsid w:val="00FF18D3"/>
    <w:rsid w:val="00FF1A00"/>
    <w:rsid w:val="00FF1BDF"/>
    <w:rsid w:val="00FF20DA"/>
    <w:rsid w:val="00FF2141"/>
    <w:rsid w:val="00FF428D"/>
    <w:rsid w:val="00FF4509"/>
    <w:rsid w:val="00FF552E"/>
    <w:rsid w:val="00FF5B4F"/>
    <w:rsid w:val="00FF5F3E"/>
    <w:rsid w:val="00FF60A4"/>
    <w:rsid w:val="00FF6482"/>
    <w:rsid w:val="00FF6763"/>
    <w:rsid w:val="00FF7523"/>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ecimalSymbol w:val="."/>
  <w:listSeparator w:val=","/>
  <w14:docId w14:val="63533192"/>
  <w15:chartTrackingRefBased/>
  <w15:docId w15:val="{BC276A1C-25D8-4E02-BBE1-18438D6D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25"/>
    <w:pPr>
      <w:spacing w:after="240"/>
      <w:jc w:val="both"/>
    </w:pPr>
    <w:rPr>
      <w:rFonts w:ascii="Times New Roman" w:hAnsi="Times New Roman"/>
      <w:szCs w:val="22"/>
    </w:rPr>
  </w:style>
  <w:style w:type="paragraph" w:styleId="Heading1">
    <w:name w:val="heading 1"/>
    <w:next w:val="Normal"/>
    <w:link w:val="Heading1Char"/>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nhideWhenUsed/>
    <w:qFormat/>
    <w:rsid w:val="006F1D68"/>
  </w:style>
  <w:style w:type="character" w:customStyle="1" w:styleId="BodyTextChar">
    <w:name w:val="Body Text Char"/>
    <w:link w:val="BodyText"/>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A55661"/>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A55661"/>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semiHidden/>
    <w:unhideWhenUsed/>
    <w:rsid w:val="00C76925"/>
    <w:pPr>
      <w:spacing w:after="0"/>
    </w:pPr>
    <w:rPr>
      <w:rFonts w:ascii="Tahoma" w:hAnsi="Tahoma" w:cs="Tahoma"/>
      <w:sz w:val="16"/>
      <w:szCs w:val="16"/>
    </w:rPr>
  </w:style>
  <w:style w:type="character" w:customStyle="1" w:styleId="BalloonTextChar">
    <w:name w:val="Balloon Text Char"/>
    <w:link w:val="BalloonText"/>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semiHidden/>
    <w:rsid w:val="00103114"/>
    <w:rPr>
      <w:sz w:val="16"/>
      <w:szCs w:val="16"/>
    </w:rPr>
  </w:style>
  <w:style w:type="paragraph" w:styleId="CommentText">
    <w:name w:val="annotation text"/>
    <w:basedOn w:val="Normal"/>
    <w:link w:val="CommentTextChar"/>
    <w:semiHidden/>
    <w:rsid w:val="00103114"/>
    <w:pPr>
      <w:spacing w:after="0"/>
      <w:jc w:val="left"/>
    </w:pPr>
    <w:rPr>
      <w:rFonts w:eastAsia="Times New Roman"/>
      <w:szCs w:val="20"/>
    </w:rPr>
  </w:style>
  <w:style w:type="character" w:customStyle="1" w:styleId="CommentTextChar">
    <w:name w:val="Comment Text Char"/>
    <w:link w:val="CommentText"/>
    <w:semiHidden/>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semiHidden/>
    <w:unhideWhenUsed/>
    <w:rsid w:val="0091570A"/>
    <w:pPr>
      <w:spacing w:after="240"/>
      <w:jc w:val="both"/>
    </w:pPr>
    <w:rPr>
      <w:rFonts w:eastAsia="Calibri"/>
      <w:b/>
      <w:bCs/>
    </w:rPr>
  </w:style>
  <w:style w:type="character" w:customStyle="1" w:styleId="CommentSubjectChar">
    <w:name w:val="Comment Subject Char"/>
    <w:link w:val="CommentSubject"/>
    <w:semiHidden/>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uiPriority w:val="35"/>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ind w:left="108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iPriority w:val="99"/>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ind w:left="720"/>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38E5"/>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59AD"/>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6"/>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uiPriority w:val="1"/>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iPriority w:val="99"/>
    <w:semiHidden/>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iPriority w:val="99"/>
    <w:semiHidden/>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iPriority w:val="99"/>
    <w:semiHidden/>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numbering" w:customStyle="1" w:styleId="NoList3">
    <w:name w:val="No List3"/>
    <w:next w:val="NoList"/>
    <w:uiPriority w:val="99"/>
    <w:semiHidden/>
    <w:unhideWhenUsed/>
    <w:rsid w:val="00237397"/>
  </w:style>
  <w:style w:type="numbering" w:customStyle="1" w:styleId="NoList11">
    <w:name w:val="No List11"/>
    <w:next w:val="NoList"/>
    <w:uiPriority w:val="99"/>
    <w:semiHidden/>
    <w:unhideWhenUsed/>
    <w:rsid w:val="00237397"/>
  </w:style>
  <w:style w:type="numbering" w:customStyle="1" w:styleId="NoList111">
    <w:name w:val="No List111"/>
    <w:next w:val="NoList"/>
    <w:uiPriority w:val="99"/>
    <w:semiHidden/>
    <w:unhideWhenUsed/>
    <w:rsid w:val="00237397"/>
  </w:style>
  <w:style w:type="numbering" w:customStyle="1" w:styleId="NoList21">
    <w:name w:val="No List21"/>
    <w:next w:val="NoList"/>
    <w:uiPriority w:val="99"/>
    <w:semiHidden/>
    <w:unhideWhenUsed/>
    <w:rsid w:val="00237397"/>
  </w:style>
  <w:style w:type="numbering" w:customStyle="1" w:styleId="NoList4">
    <w:name w:val="No List4"/>
    <w:next w:val="NoList"/>
    <w:uiPriority w:val="99"/>
    <w:semiHidden/>
    <w:unhideWhenUsed/>
    <w:rsid w:val="00712584"/>
  </w:style>
  <w:style w:type="numbering" w:customStyle="1" w:styleId="NoList12">
    <w:name w:val="No List12"/>
    <w:next w:val="NoList"/>
    <w:uiPriority w:val="99"/>
    <w:semiHidden/>
    <w:unhideWhenUsed/>
    <w:rsid w:val="00712584"/>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12584"/>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12584"/>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12584"/>
  </w:style>
  <w:style w:type="numbering" w:customStyle="1" w:styleId="NoList1111">
    <w:name w:val="No List1111"/>
    <w:next w:val="NoList"/>
    <w:uiPriority w:val="99"/>
    <w:semiHidden/>
    <w:unhideWhenUsed/>
    <w:rsid w:val="00712584"/>
  </w:style>
  <w:style w:type="numbering" w:customStyle="1" w:styleId="NoList11111">
    <w:name w:val="No List11111"/>
    <w:next w:val="NoList"/>
    <w:uiPriority w:val="99"/>
    <w:semiHidden/>
    <w:unhideWhenUsed/>
    <w:rsid w:val="00712584"/>
  </w:style>
  <w:style w:type="numbering" w:customStyle="1" w:styleId="NoList211">
    <w:name w:val="No List211"/>
    <w:next w:val="NoList"/>
    <w:uiPriority w:val="99"/>
    <w:semiHidden/>
    <w:unhideWhenUsed/>
    <w:rsid w:val="00712584"/>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33"/>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35"/>
      </w:numPr>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styleId="UnresolvedMention">
    <w:name w:val="Unresolved Mention"/>
    <w:basedOn w:val="DefaultParagraphFont"/>
    <w:uiPriority w:val="99"/>
    <w:semiHidden/>
    <w:unhideWhenUsed/>
    <w:rsid w:val="0045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22999166">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56552345">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node=pt9.2.317&amp;rgn=div5" TargetMode="External"/><Relationship Id="rId18" Type="http://schemas.openxmlformats.org/officeDocument/2006/relationships/hyperlink" Target="https://www.ncwm.com/publication-16" TargetMode="External"/><Relationship Id="rId26" Type="http://schemas.openxmlformats.org/officeDocument/2006/relationships/hyperlink" Target="https://www.api.org/products-and-services/standards/rights-and-usage-policy%23tab-ibr-reading-room" TargetMode="External"/><Relationship Id="rId39" Type="http://schemas.openxmlformats.org/officeDocument/2006/relationships/hyperlink" Target="https://www.ncwm.com/publication-16" TargetMode="External"/><Relationship Id="rId3" Type="http://schemas.openxmlformats.org/officeDocument/2006/relationships/customXml" Target="../customXml/item3.xml"/><Relationship Id="rId21" Type="http://schemas.openxmlformats.org/officeDocument/2006/relationships/hyperlink" Target="https://www.ncwm.com/publication-16" TargetMode="External"/><Relationship Id="rId34" Type="http://schemas.openxmlformats.org/officeDocument/2006/relationships/hyperlink" Target="https://www.ncwm.com/publication-16" TargetMode="External"/><Relationship Id="rId42" Type="http://schemas.openxmlformats.org/officeDocument/2006/relationships/hyperlink" Target="mailto:wstriejewske@agri.state.nv.u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ncwm.com/publication-16" TargetMode="External"/><Relationship Id="rId17" Type="http://schemas.openxmlformats.org/officeDocument/2006/relationships/hyperlink" Target="https://www.ecfr.gov/cgi-bin/text-idx?node=pt21.2.101&amp;rgn=div5" TargetMode="External"/><Relationship Id="rId25" Type="http://schemas.openxmlformats.org/officeDocument/2006/relationships/hyperlink" Target="http://(www.apiwebstore.org)." TargetMode="External"/><Relationship Id="rId33" Type="http://schemas.openxmlformats.org/officeDocument/2006/relationships/hyperlink" Target="https://www.ncwm.com/publication-16" TargetMode="External"/><Relationship Id="rId38" Type="http://schemas.openxmlformats.org/officeDocument/2006/relationships/hyperlink" Target="mailto:ron.hayes@mda.mo.gov" TargetMode="External"/><Relationship Id="rId46" Type="http://schemas.openxmlformats.org/officeDocument/2006/relationships/hyperlink" Target="https://www.ncwm.com/publication-16" TargetMode="External"/><Relationship Id="rId2" Type="http://schemas.openxmlformats.org/officeDocument/2006/relationships/customXml" Target="../customXml/item2.xml"/><Relationship Id="rId16" Type="http://schemas.openxmlformats.org/officeDocument/2006/relationships/hyperlink" Target="https://www.ecfr.gov/cgi-bin/text-idx?node=pt9.2.317&amp;rgn=div5" TargetMode="External"/><Relationship Id="rId20" Type="http://schemas.openxmlformats.org/officeDocument/2006/relationships/hyperlink" Target="https://www.ncwm.com/publication-16" TargetMode="External"/><Relationship Id="rId29" Type="http://schemas.openxmlformats.org/officeDocument/2006/relationships/hyperlink" Target="mailto:wstriejewske@agri.state.nv.us" TargetMode="External"/><Relationship Id="rId41" Type="http://schemas.openxmlformats.org/officeDocument/2006/relationships/hyperlink" Target="https://www.ncwm.com/publication-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cwm.com/publication-16" TargetMode="External"/><Relationship Id="rId32" Type="http://schemas.openxmlformats.org/officeDocument/2006/relationships/hyperlink" Target="https://www.regulations.gov/document?D=EPA-HQ-OAR-2018-0775-1174" TargetMode="External"/><Relationship Id="rId37" Type="http://schemas.openxmlformats.org/officeDocument/2006/relationships/hyperlink" Target="https://www.nist.gov/pml/weights-and-measures/laboratory-metrology/standard-operating-procedures" TargetMode="External"/><Relationship Id="rId40" Type="http://schemas.openxmlformats.org/officeDocument/2006/relationships/hyperlink" Target="mailto:mike.sikula@agriculture.ny.gov" TargetMode="External"/><Relationship Id="rId45" Type="http://schemas.openxmlformats.org/officeDocument/2006/relationships/hyperlink" Target="mailto:guay.cb@gmail.com" TargetMode="External"/><Relationship Id="rId5" Type="http://schemas.openxmlformats.org/officeDocument/2006/relationships/customXml" Target="../customXml/item5.xml"/><Relationship Id="rId15" Type="http://schemas.openxmlformats.org/officeDocument/2006/relationships/hyperlink" Target="mailto:lisa.warfield@nist.gov" TargetMode="External"/><Relationship Id="rId23" Type="http://schemas.openxmlformats.org/officeDocument/2006/relationships/hyperlink" Target="https://www.regulations.gov/document?D=EPA-HQ-OAR-2018-0775-1174" TargetMode="External"/><Relationship Id="rId28" Type="http://schemas.openxmlformats.org/officeDocument/2006/relationships/hyperlink" Target="https://www.ncwm.com/publication-16" TargetMode="External"/><Relationship Id="rId36" Type="http://schemas.openxmlformats.org/officeDocument/2006/relationships/image" Target="media/image2.png"/><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www.govinfo.gov/content/pkg/FR-2019-06-10/pdf/2019-11653.pdf" TargetMode="External"/><Relationship Id="rId44" Type="http://schemas.openxmlformats.org/officeDocument/2006/relationships/hyperlink" Target="https://www.ncwm.com/publication-16"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node=pt21.2.101&amp;rgn=div5" TargetMode="External"/><Relationship Id="rId22" Type="http://schemas.openxmlformats.org/officeDocument/2006/relationships/hyperlink" Target="https://www.govinfo.gov/content/pkg/FR-2019-06-10/pdf/2019-11653.pdf" TargetMode="External"/><Relationship Id="rId27" Type="http://schemas.openxmlformats.org/officeDocument/2006/relationships/hyperlink" Target="https://www.ncwm.com/publication-16" TargetMode="External"/><Relationship Id="rId30" Type="http://schemas.openxmlformats.org/officeDocument/2006/relationships/hyperlink" Target="https://www.wpmca.org/assets/ethanol/E15_What_Retailers_Need_to_Know.pdf" TargetMode="External"/><Relationship Id="rId35" Type="http://schemas.openxmlformats.org/officeDocument/2006/relationships/hyperlink" Target="https://www.ncwm.com/publication-16" TargetMode="External"/><Relationship Id="rId43" Type="http://schemas.openxmlformats.org/officeDocument/2006/relationships/hyperlink" Target="https://ecfr.io/Title-40/pt40.19.80"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D118C-4C99-405F-843C-5428620F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3.xml><?xml version="1.0" encoding="utf-8"?>
<ds:datastoreItem xmlns:ds="http://schemas.openxmlformats.org/officeDocument/2006/customXml" ds:itemID="{6E4EEB07-89E9-4345-8E37-925F353109E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1c729d5-d8dd-4ccd-87aa-46ea52ddd4a6"/>
    <ds:schemaRef ds:uri="e821e515-2ed6-42dc-8244-a8315a5cc19a"/>
    <ds:schemaRef ds:uri="http://www.w3.org/XML/1998/namespace"/>
  </ds:schemaRefs>
</ds:datastoreItem>
</file>

<file path=customXml/itemProps4.xml><?xml version="1.0" encoding="utf-8"?>
<ds:datastoreItem xmlns:ds="http://schemas.openxmlformats.org/officeDocument/2006/customXml" ds:itemID="{135C296C-8425-4B41-A75A-94EE397DD97B}">
  <ds:schemaRefs>
    <ds:schemaRef ds:uri="http://schemas.openxmlformats.org/officeDocument/2006/bibliography"/>
  </ds:schemaRefs>
</ds:datastoreItem>
</file>

<file path=customXml/itemProps5.xml><?xml version="1.0" encoding="utf-8"?>
<ds:datastoreItem xmlns:ds="http://schemas.openxmlformats.org/officeDocument/2006/customXml" ds:itemID="{EDE2D752-7DF2-4469-9673-CE6E620DC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78</Pages>
  <Words>38346</Words>
  <Characters>218576</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2020-2021 Interim Report</vt:lpstr>
    </vt:vector>
  </TitlesOfParts>
  <Manager>lisa.warfield@nist.gov</Manager>
  <Company/>
  <LinksUpToDate>false</LinksUpToDate>
  <CharactersWithSpaces>256410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Interim Report</dc:title>
  <dc:subject/>
  <dc:creator>lisa.warfield@nist.gov</dc:creator>
  <cp:keywords>2020-2021 Interim Report</cp:keywords>
  <dc:description/>
  <cp:lastModifiedBy>Tyler Reeder</cp:lastModifiedBy>
  <cp:revision>182</cp:revision>
  <cp:lastPrinted>2021-04-23T15:45:00Z</cp:lastPrinted>
  <dcterms:created xsi:type="dcterms:W3CDTF">2021-03-04T15:17:00Z</dcterms:created>
  <dcterms:modified xsi:type="dcterms:W3CDTF">2021-05-04T21:44:00Z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ies>
</file>